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A98202">
      <w:pPr>
        <w:rPr>
          <w:rFonts w:hint="eastAsia"/>
        </w:rPr>
      </w:pPr>
    </w:p>
    <w:p w14:paraId="565FEBBD">
      <w:pPr>
        <w:spacing w:line="400" w:lineRule="exact"/>
        <w:jc w:val="center"/>
        <w:rPr>
          <w:rFonts w:hint="eastAsia" w:ascii="宋体" w:hAnsi="宋体" w:eastAsia="宋体" w:cs="宋体"/>
          <w:b/>
          <w:bCs/>
          <w:sz w:val="32"/>
          <w:szCs w:val="32"/>
        </w:rPr>
      </w:pPr>
    </w:p>
    <w:p w14:paraId="634E57D4">
      <w:pPr>
        <w:spacing w:line="400" w:lineRule="exact"/>
        <w:jc w:val="center"/>
        <w:rPr>
          <w:rFonts w:hint="eastAsia" w:ascii="华文中宋" w:hAnsi="华文中宋" w:eastAsia="华文中宋" w:cs="华文中宋"/>
          <w:b/>
          <w:bCs/>
          <w:sz w:val="44"/>
          <w:szCs w:val="44"/>
        </w:rPr>
      </w:pPr>
    </w:p>
    <w:p w14:paraId="3D314ECB">
      <w:pPr>
        <w:spacing w:line="400" w:lineRule="exact"/>
        <w:jc w:val="center"/>
        <w:rPr>
          <w:rFonts w:hint="eastAsia" w:ascii="华文中宋" w:hAnsi="华文中宋" w:eastAsia="华文中宋" w:cs="华文中宋"/>
          <w:b/>
          <w:bCs/>
          <w:sz w:val="44"/>
          <w:szCs w:val="44"/>
          <w:lang w:val="en-US" w:eastAsia="zh-CN"/>
        </w:rPr>
      </w:pPr>
      <w:r>
        <w:rPr>
          <w:rFonts w:hint="eastAsia" w:ascii="华文中宋" w:hAnsi="华文中宋" w:eastAsia="华文中宋" w:cs="华文中宋"/>
          <w:b/>
          <w:bCs/>
          <w:sz w:val="44"/>
          <w:szCs w:val="44"/>
        </w:rPr>
        <w:t>浙江艺术职业学院消防设施设备</w:t>
      </w:r>
      <w:r>
        <w:rPr>
          <w:rFonts w:hint="eastAsia" w:ascii="华文中宋" w:hAnsi="华文中宋" w:eastAsia="华文中宋" w:cs="华文中宋"/>
          <w:b/>
          <w:bCs/>
          <w:sz w:val="44"/>
          <w:szCs w:val="44"/>
          <w:lang w:val="en-US" w:eastAsia="zh-CN"/>
        </w:rPr>
        <w:t>年度</w:t>
      </w:r>
      <w:r>
        <w:rPr>
          <w:rFonts w:hint="eastAsia" w:ascii="华文中宋" w:hAnsi="华文中宋" w:eastAsia="华文中宋" w:cs="华文中宋"/>
          <w:b/>
          <w:bCs/>
          <w:sz w:val="44"/>
          <w:szCs w:val="44"/>
        </w:rPr>
        <w:t>维保</w:t>
      </w:r>
      <w:r>
        <w:rPr>
          <w:rFonts w:hint="eastAsia" w:ascii="华文中宋" w:hAnsi="华文中宋" w:eastAsia="华文中宋" w:cs="华文中宋"/>
          <w:b/>
          <w:bCs/>
          <w:sz w:val="44"/>
          <w:szCs w:val="44"/>
          <w:lang w:val="en-US" w:eastAsia="zh-CN"/>
        </w:rPr>
        <w:t>服务询价函</w:t>
      </w:r>
    </w:p>
    <w:p w14:paraId="1D93FC91">
      <w:pPr>
        <w:spacing w:line="360" w:lineRule="auto"/>
        <w:rPr>
          <w:rFonts w:hint="eastAsia" w:ascii="华文中宋" w:hAnsi="华文中宋" w:eastAsia="华文中宋" w:cs="华文中宋"/>
          <w:sz w:val="24"/>
        </w:rPr>
      </w:pPr>
    </w:p>
    <w:p w14:paraId="3886B0B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各供应商：</w:t>
      </w:r>
    </w:p>
    <w:p w14:paraId="2334AE1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根据相关法律法规规定，现就浙江艺术职业学院设施设备维保项目</w:t>
      </w:r>
      <w:r>
        <w:rPr>
          <w:rFonts w:hint="eastAsia" w:ascii="仿宋_GB2312" w:hAnsi="仿宋_GB2312" w:eastAsia="仿宋_GB2312" w:cs="仿宋_GB2312"/>
          <w:spacing w:val="-6"/>
          <w:sz w:val="32"/>
          <w:szCs w:val="32"/>
        </w:rPr>
        <w:t>进行公开询价采购。</w:t>
      </w:r>
      <w:r>
        <w:rPr>
          <w:rFonts w:hint="eastAsia" w:ascii="仿宋_GB2312" w:hAnsi="仿宋_GB2312" w:eastAsia="仿宋_GB2312" w:cs="仿宋_GB2312"/>
          <w:sz w:val="32"/>
          <w:szCs w:val="32"/>
        </w:rPr>
        <w:t>请供应商仔细阅读我方需求清单及询价注意事项，并提供一次性报价（不得更改）。</w:t>
      </w:r>
    </w:p>
    <w:p w14:paraId="6514591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浙江艺术职业学院消防设施设备和维保需求清单如下:</w:t>
      </w:r>
    </w:p>
    <w:p w14:paraId="67A72A8B">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40" w:lineRule="exact"/>
        <w:ind w:left="0" w:firstLine="0"/>
        <w:textAlignment w:val="auto"/>
        <w:rPr>
          <w:rStyle w:val="13"/>
          <w:rFonts w:hint="eastAsia" w:ascii="黑体" w:hAnsi="黑体" w:eastAsia="黑体" w:cs="黑体"/>
          <w:b/>
          <w:bCs/>
          <w:i w:val="0"/>
          <w:iCs w:val="0"/>
          <w:caps w:val="0"/>
          <w:color w:val="404040"/>
          <w:spacing w:val="0"/>
          <w:sz w:val="32"/>
          <w:szCs w:val="32"/>
          <w:shd w:val="clear" w:fill="FFFFFF"/>
          <w:lang w:val="en-US" w:eastAsia="zh-CN"/>
        </w:rPr>
      </w:pPr>
      <w:r>
        <w:rPr>
          <w:rStyle w:val="13"/>
          <w:rFonts w:hint="eastAsia" w:ascii="黑体" w:hAnsi="黑体" w:eastAsia="黑体" w:cs="黑体"/>
          <w:b/>
          <w:bCs/>
          <w:i w:val="0"/>
          <w:iCs w:val="0"/>
          <w:caps w:val="0"/>
          <w:color w:val="404040"/>
          <w:spacing w:val="0"/>
          <w:sz w:val="32"/>
          <w:szCs w:val="32"/>
          <w:shd w:val="clear" w:fill="FFFFFF"/>
          <w:lang w:val="en-US" w:eastAsia="zh-CN"/>
        </w:rPr>
        <w:t>一、消防设施设备</w:t>
      </w:r>
    </w:p>
    <w:p w14:paraId="5FFFD7CC">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40" w:lineRule="exact"/>
        <w:ind w:left="0" w:firstLine="0"/>
        <w:textAlignment w:val="auto"/>
        <w:rPr>
          <w:rFonts w:hint="eastAsia" w:ascii="楷体_GB2312" w:hAnsi="楷体_GB2312" w:eastAsia="楷体_GB2312" w:cs="楷体_GB2312"/>
          <w:sz w:val="32"/>
          <w:szCs w:val="32"/>
        </w:rPr>
      </w:pP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w:t>
      </w:r>
      <w:r>
        <w:rPr>
          <w:rStyle w:val="13"/>
          <w:rFonts w:hint="eastAsia" w:ascii="楷体_GB2312" w:hAnsi="楷体_GB2312" w:eastAsia="楷体_GB2312" w:cs="楷体_GB2312"/>
          <w:b/>
          <w:bCs/>
          <w:i w:val="0"/>
          <w:iCs w:val="0"/>
          <w:caps w:val="0"/>
          <w:color w:val="404040"/>
          <w:spacing w:val="0"/>
          <w:sz w:val="32"/>
          <w:szCs w:val="32"/>
          <w:shd w:val="clear" w:fill="FFFFFF"/>
        </w:rPr>
        <w:t>一</w:t>
      </w: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w:t>
      </w:r>
      <w:r>
        <w:rPr>
          <w:rStyle w:val="13"/>
          <w:rFonts w:hint="eastAsia" w:ascii="楷体_GB2312" w:hAnsi="楷体_GB2312" w:eastAsia="楷体_GB2312" w:cs="楷体_GB2312"/>
          <w:b/>
          <w:bCs/>
          <w:i w:val="0"/>
          <w:iCs w:val="0"/>
          <w:caps w:val="0"/>
          <w:color w:val="404040"/>
          <w:spacing w:val="0"/>
          <w:sz w:val="32"/>
          <w:szCs w:val="32"/>
          <w:shd w:val="clear" w:fill="FFFFFF"/>
        </w:rPr>
        <w:t>火灾报警控制系统</w:t>
      </w:r>
    </w:p>
    <w:p w14:paraId="52C86C9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Style w:val="13"/>
          <w:rFonts w:hint="eastAsia" w:ascii="仿宋_GB2312" w:hAnsi="仿宋_GB2312" w:eastAsia="仿宋_GB2312" w:cs="仿宋_GB2312"/>
          <w:b/>
          <w:bCs/>
          <w:i w:val="0"/>
          <w:iCs w:val="0"/>
          <w:caps w:val="0"/>
          <w:color w:val="404040"/>
          <w:spacing w:val="0"/>
          <w:sz w:val="32"/>
          <w:szCs w:val="32"/>
          <w:shd w:val="clear" w:fill="FFFFFF"/>
        </w:rPr>
        <w:t>型号及覆盖范围</w:t>
      </w:r>
    </w:p>
    <w:p w14:paraId="6B57616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i w:val="0"/>
          <w:iCs w:val="0"/>
          <w:caps w:val="0"/>
          <w:color w:val="404040"/>
          <w:spacing w:val="0"/>
          <w:sz w:val="32"/>
          <w:szCs w:val="32"/>
          <w:shd w:val="clear" w:fill="FFFFFF"/>
        </w:rPr>
        <w:t>使用型号：JB-3208G 火灾报警控制器（联动型）</w:t>
      </w:r>
      <w:r>
        <w:rPr>
          <w:rFonts w:hint="eastAsia" w:ascii="仿宋_GB2312" w:hAnsi="仿宋_GB2312" w:eastAsia="仿宋_GB2312" w:cs="仿宋_GB2312"/>
          <w:i w:val="0"/>
          <w:iCs w:val="0"/>
          <w:caps w:val="0"/>
          <w:color w:val="404040"/>
          <w:spacing w:val="0"/>
          <w:sz w:val="32"/>
          <w:szCs w:val="32"/>
          <w:shd w:val="clear" w:fill="FFFFFF"/>
          <w:lang w:eastAsia="zh-CN"/>
        </w:rPr>
        <w:t>、</w:t>
      </w:r>
      <w:r>
        <w:rPr>
          <w:rFonts w:hint="eastAsia" w:ascii="仿宋_GB2312" w:hAnsi="仿宋_GB2312" w:eastAsia="仿宋_GB2312" w:cs="仿宋_GB2312"/>
          <w:i w:val="0"/>
          <w:iCs w:val="0"/>
          <w:caps w:val="0"/>
          <w:color w:val="404040"/>
          <w:spacing w:val="0"/>
          <w:sz w:val="32"/>
          <w:szCs w:val="32"/>
          <w:shd w:val="clear" w:fill="FFFFFF"/>
          <w:lang w:val="en-US" w:eastAsia="zh-CN"/>
        </w:rPr>
        <w:t>JB-TGL-EI8000G型、JB-QG-GST5000H型、JB-9108A型</w:t>
      </w:r>
    </w:p>
    <w:p w14:paraId="5340A43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i w:val="0"/>
          <w:iCs w:val="0"/>
          <w:caps w:val="0"/>
          <w:color w:val="404040"/>
          <w:spacing w:val="0"/>
          <w:sz w:val="32"/>
          <w:szCs w:val="32"/>
          <w:shd w:val="clear" w:fill="FFFFFF"/>
        </w:rPr>
      </w:pPr>
      <w:r>
        <w:rPr>
          <w:rFonts w:hint="eastAsia" w:ascii="仿宋_GB2312" w:hAnsi="仿宋_GB2312" w:eastAsia="仿宋_GB2312" w:cs="仿宋_GB2312"/>
          <w:i w:val="0"/>
          <w:iCs w:val="0"/>
          <w:caps w:val="0"/>
          <w:color w:val="404040"/>
          <w:spacing w:val="0"/>
          <w:sz w:val="32"/>
          <w:szCs w:val="32"/>
          <w:shd w:val="clear" w:fill="FFFFFF"/>
        </w:rPr>
        <w:t>覆盖楼宇：3号楼、6号楼、7号楼、8号楼、12号楼、13号楼</w:t>
      </w:r>
      <w:r>
        <w:rPr>
          <w:rFonts w:hint="eastAsia" w:ascii="仿宋_GB2312" w:hAnsi="仿宋_GB2312" w:eastAsia="仿宋_GB2312" w:cs="仿宋_GB2312"/>
          <w:i w:val="0"/>
          <w:iCs w:val="0"/>
          <w:caps w:val="0"/>
          <w:color w:val="404040"/>
          <w:spacing w:val="0"/>
          <w:sz w:val="32"/>
          <w:szCs w:val="32"/>
          <w:shd w:val="clear" w:fill="FFFFFF"/>
          <w:lang w:eastAsia="zh-CN"/>
        </w:rPr>
        <w:t>、</w:t>
      </w:r>
      <w:r>
        <w:rPr>
          <w:rFonts w:hint="eastAsia" w:ascii="仿宋_GB2312" w:hAnsi="仿宋_GB2312" w:eastAsia="仿宋_GB2312" w:cs="仿宋_GB2312"/>
          <w:i w:val="0"/>
          <w:iCs w:val="0"/>
          <w:caps w:val="0"/>
          <w:color w:val="404040"/>
          <w:spacing w:val="0"/>
          <w:sz w:val="32"/>
          <w:szCs w:val="32"/>
          <w:shd w:val="clear" w:fill="FFFFFF"/>
          <w:lang w:val="en-US" w:eastAsia="zh-CN"/>
        </w:rPr>
        <w:t>11号楼学生公寓、综合楼、东冠校区（15、16、17）号楼</w:t>
      </w:r>
    </w:p>
    <w:p w14:paraId="19CCE1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Style w:val="13"/>
          <w:rFonts w:hint="eastAsia" w:ascii="仿宋_GB2312" w:hAnsi="仿宋_GB2312" w:eastAsia="仿宋_GB2312" w:cs="仿宋_GB2312"/>
          <w:b/>
          <w:bCs/>
          <w:i w:val="0"/>
          <w:iCs w:val="0"/>
          <w:caps w:val="0"/>
          <w:color w:val="404040"/>
          <w:spacing w:val="0"/>
          <w:sz w:val="32"/>
          <w:szCs w:val="32"/>
          <w:shd w:val="clear" w:fill="FFFFFF"/>
        </w:rPr>
        <w:t>其他楼宇配置</w:t>
      </w:r>
    </w:p>
    <w:p w14:paraId="7A5E1C3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9号楼校内公寓：配置无线报警设</w:t>
      </w:r>
      <w:r>
        <w:rPr>
          <w:rFonts w:hint="eastAsia" w:ascii="仿宋_GB2312" w:hAnsi="仿宋_GB2312" w:eastAsia="仿宋_GB2312" w:cs="仿宋_GB2312"/>
          <w:i w:val="0"/>
          <w:iCs w:val="0"/>
          <w:caps w:val="0"/>
          <w:color w:val="404040"/>
          <w:spacing w:val="0"/>
          <w:sz w:val="32"/>
          <w:szCs w:val="32"/>
          <w:shd w:val="clear" w:fill="FFFFFF"/>
          <w:lang w:val="en-US" w:eastAsia="zh-CN"/>
        </w:rPr>
        <w:t>备</w:t>
      </w:r>
      <w:r>
        <w:rPr>
          <w:rFonts w:hint="eastAsia" w:ascii="仿宋_GB2312" w:hAnsi="仿宋_GB2312" w:eastAsia="仿宋_GB2312" w:cs="仿宋_GB2312"/>
          <w:i w:val="0"/>
          <w:iCs w:val="0"/>
          <w:caps w:val="0"/>
          <w:color w:val="404040"/>
          <w:spacing w:val="0"/>
          <w:sz w:val="32"/>
          <w:szCs w:val="32"/>
          <w:shd w:val="clear" w:fill="FFFFFF"/>
        </w:rPr>
        <w:t>及</w:t>
      </w:r>
      <w:r>
        <w:rPr>
          <w:rFonts w:hint="eastAsia" w:ascii="仿宋_GB2312" w:hAnsi="仿宋_GB2312" w:eastAsia="仿宋_GB2312" w:cs="仿宋_GB2312"/>
          <w:i w:val="0"/>
          <w:iCs w:val="0"/>
          <w:caps w:val="0"/>
          <w:color w:val="404040"/>
          <w:spacing w:val="0"/>
          <w:sz w:val="32"/>
          <w:szCs w:val="32"/>
          <w:shd w:val="clear" w:fill="FFFFFF"/>
          <w:lang w:val="en-US" w:eastAsia="zh-CN"/>
        </w:rPr>
        <w:t>无线</w:t>
      </w:r>
      <w:r>
        <w:rPr>
          <w:rFonts w:hint="eastAsia" w:ascii="仿宋_GB2312" w:hAnsi="仿宋_GB2312" w:eastAsia="仿宋_GB2312" w:cs="仿宋_GB2312"/>
          <w:i w:val="0"/>
          <w:iCs w:val="0"/>
          <w:caps w:val="0"/>
          <w:color w:val="404040"/>
          <w:spacing w:val="0"/>
          <w:sz w:val="32"/>
          <w:szCs w:val="32"/>
          <w:shd w:val="clear" w:fill="FFFFFF"/>
        </w:rPr>
        <w:t>手动报警</w:t>
      </w:r>
    </w:p>
    <w:p w14:paraId="211281E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404040"/>
          <w:spacing w:val="0"/>
          <w:sz w:val="32"/>
          <w:szCs w:val="32"/>
          <w:shd w:val="clear" w:fill="FFFFFF"/>
        </w:rPr>
        <w:t>其他楼宇：配置室内消火栓</w:t>
      </w:r>
      <w:r>
        <w:rPr>
          <w:rFonts w:hint="eastAsia" w:ascii="仿宋_GB2312" w:hAnsi="仿宋_GB2312" w:eastAsia="仿宋_GB2312" w:cs="仿宋_GB2312"/>
          <w:i w:val="0"/>
          <w:iCs w:val="0"/>
          <w:caps w:val="0"/>
          <w:color w:val="404040"/>
          <w:spacing w:val="0"/>
          <w:sz w:val="32"/>
          <w:szCs w:val="32"/>
          <w:shd w:val="clear" w:fill="FFFFFF"/>
          <w:lang w:val="en-US" w:eastAsia="zh-CN"/>
        </w:rPr>
        <w:t>系统</w:t>
      </w:r>
    </w:p>
    <w:p w14:paraId="033D0564">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40" w:lineRule="exact"/>
        <w:ind w:left="0" w:firstLine="0"/>
        <w:textAlignment w:val="auto"/>
        <w:rPr>
          <w:rFonts w:hint="eastAsia" w:ascii="楷体_GB2312" w:hAnsi="楷体_GB2312" w:eastAsia="楷体_GB2312" w:cs="楷体_GB2312"/>
          <w:sz w:val="32"/>
          <w:szCs w:val="32"/>
        </w:rPr>
      </w:pPr>
      <w:r>
        <w:rPr>
          <w:rStyle w:val="13"/>
          <w:rFonts w:hint="eastAsia" w:ascii="楷体_GB2312" w:hAnsi="楷体_GB2312" w:eastAsia="楷体_GB2312" w:cs="楷体_GB2312"/>
          <w:b/>
          <w:bCs/>
          <w:i w:val="0"/>
          <w:iCs w:val="0"/>
          <w:caps w:val="0"/>
          <w:color w:val="404040"/>
          <w:spacing w:val="0"/>
          <w:sz w:val="32"/>
          <w:szCs w:val="32"/>
          <w:shd w:val="clear" w:fill="FFFFFF"/>
          <w:lang w:eastAsia="zh-CN"/>
        </w:rPr>
        <w:t>（</w:t>
      </w: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二</w:t>
      </w:r>
      <w:r>
        <w:rPr>
          <w:rStyle w:val="13"/>
          <w:rFonts w:hint="eastAsia" w:ascii="楷体_GB2312" w:hAnsi="楷体_GB2312" w:eastAsia="楷体_GB2312" w:cs="楷体_GB2312"/>
          <w:b/>
          <w:bCs/>
          <w:i w:val="0"/>
          <w:iCs w:val="0"/>
          <w:caps w:val="0"/>
          <w:color w:val="404040"/>
          <w:spacing w:val="0"/>
          <w:sz w:val="32"/>
          <w:szCs w:val="32"/>
          <w:shd w:val="clear" w:fill="FFFFFF"/>
          <w:lang w:eastAsia="zh-CN"/>
        </w:rPr>
        <w:t>）</w:t>
      </w:r>
      <w:r>
        <w:rPr>
          <w:rStyle w:val="13"/>
          <w:rFonts w:hint="eastAsia" w:ascii="楷体_GB2312" w:hAnsi="楷体_GB2312" w:eastAsia="楷体_GB2312" w:cs="楷体_GB2312"/>
          <w:b/>
          <w:bCs/>
          <w:i w:val="0"/>
          <w:iCs w:val="0"/>
          <w:caps w:val="0"/>
          <w:color w:val="404040"/>
          <w:spacing w:val="0"/>
          <w:sz w:val="32"/>
          <w:szCs w:val="32"/>
          <w:shd w:val="clear" w:fill="FFFFFF"/>
        </w:rPr>
        <w:t>消防系统联动情况</w:t>
      </w:r>
    </w:p>
    <w:p w14:paraId="280FAF9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720" w:right="0"/>
        <w:textAlignment w:val="auto"/>
        <w:rPr>
          <w:rFonts w:hint="eastAsia" w:ascii="仿宋_GB2312" w:hAnsi="仿宋_GB2312" w:eastAsia="仿宋_GB2312" w:cs="仿宋_GB2312"/>
          <w:sz w:val="32"/>
          <w:szCs w:val="32"/>
        </w:rPr>
      </w:pPr>
      <w:r>
        <w:rPr>
          <w:rStyle w:val="13"/>
          <w:rFonts w:hint="eastAsia" w:ascii="仿宋_GB2312" w:hAnsi="仿宋_GB2312" w:eastAsia="仿宋_GB2312" w:cs="仿宋_GB2312"/>
          <w:b/>
          <w:bCs/>
          <w:i w:val="0"/>
          <w:iCs w:val="0"/>
          <w:caps w:val="0"/>
          <w:color w:val="404040"/>
          <w:spacing w:val="0"/>
          <w:sz w:val="32"/>
          <w:szCs w:val="32"/>
          <w:shd w:val="clear" w:fill="FFFFFF"/>
        </w:rPr>
        <w:t>防排烟系统</w:t>
      </w:r>
    </w:p>
    <w:p w14:paraId="16AF7F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404040"/>
          <w:spacing w:val="0"/>
          <w:sz w:val="32"/>
          <w:szCs w:val="32"/>
          <w:shd w:val="clear" w:fill="FFFFFF"/>
        </w:rPr>
        <w:t>覆盖楼宇：3号楼、7号楼、12号楼</w:t>
      </w:r>
      <w:r>
        <w:rPr>
          <w:rFonts w:hint="eastAsia" w:ascii="仿宋_GB2312" w:hAnsi="仿宋_GB2312" w:eastAsia="仿宋_GB2312" w:cs="仿宋_GB2312"/>
          <w:i w:val="0"/>
          <w:iCs w:val="0"/>
          <w:caps w:val="0"/>
          <w:color w:val="404040"/>
          <w:spacing w:val="0"/>
          <w:sz w:val="32"/>
          <w:szCs w:val="32"/>
          <w:shd w:val="clear" w:fill="FFFFFF"/>
          <w:lang w:eastAsia="zh-CN"/>
        </w:rPr>
        <w:t>、</w:t>
      </w:r>
      <w:r>
        <w:rPr>
          <w:rFonts w:hint="eastAsia" w:ascii="仿宋_GB2312" w:hAnsi="仿宋_GB2312" w:eastAsia="仿宋_GB2312" w:cs="仿宋_GB2312"/>
          <w:i w:val="0"/>
          <w:iCs w:val="0"/>
          <w:caps w:val="0"/>
          <w:color w:val="404040"/>
          <w:spacing w:val="0"/>
          <w:sz w:val="32"/>
          <w:szCs w:val="32"/>
          <w:shd w:val="clear" w:fill="FFFFFF"/>
          <w:lang w:val="en-US" w:eastAsia="zh-CN"/>
        </w:rPr>
        <w:t>综合楼、东冠校区（15、16、17）号楼</w:t>
      </w:r>
    </w:p>
    <w:p w14:paraId="0484AF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Style w:val="13"/>
          <w:rFonts w:hint="eastAsia" w:ascii="仿宋_GB2312" w:hAnsi="仿宋_GB2312" w:eastAsia="仿宋_GB2312" w:cs="仿宋_GB2312"/>
          <w:b/>
          <w:bCs/>
          <w:i w:val="0"/>
          <w:iCs w:val="0"/>
          <w:caps w:val="0"/>
          <w:color w:val="404040"/>
          <w:spacing w:val="0"/>
          <w:sz w:val="32"/>
          <w:szCs w:val="32"/>
          <w:shd w:val="clear" w:fill="FFFFFF"/>
        </w:rPr>
        <w:t>自动喷水灭火系统</w:t>
      </w:r>
    </w:p>
    <w:p w14:paraId="5C5A4B2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404040"/>
          <w:spacing w:val="0"/>
          <w:sz w:val="32"/>
          <w:szCs w:val="32"/>
          <w:shd w:val="clear" w:fill="FFFFFF"/>
        </w:rPr>
        <w:t>覆盖楼宇：3号楼、7号楼、12号楼</w:t>
      </w:r>
      <w:r>
        <w:rPr>
          <w:rFonts w:hint="eastAsia" w:ascii="仿宋_GB2312" w:hAnsi="仿宋_GB2312" w:eastAsia="仿宋_GB2312" w:cs="仿宋_GB2312"/>
          <w:i w:val="0"/>
          <w:iCs w:val="0"/>
          <w:caps w:val="0"/>
          <w:color w:val="404040"/>
          <w:spacing w:val="0"/>
          <w:sz w:val="32"/>
          <w:szCs w:val="32"/>
          <w:shd w:val="clear" w:fill="FFFFFF"/>
          <w:lang w:eastAsia="zh-CN"/>
        </w:rPr>
        <w:t>、</w:t>
      </w:r>
      <w:r>
        <w:rPr>
          <w:rFonts w:hint="eastAsia" w:ascii="仿宋_GB2312" w:hAnsi="仿宋_GB2312" w:eastAsia="仿宋_GB2312" w:cs="仿宋_GB2312"/>
          <w:i w:val="0"/>
          <w:iCs w:val="0"/>
          <w:caps w:val="0"/>
          <w:color w:val="404040"/>
          <w:spacing w:val="0"/>
          <w:sz w:val="32"/>
          <w:szCs w:val="32"/>
          <w:shd w:val="clear" w:fill="FFFFFF"/>
          <w:lang w:val="en-US" w:eastAsia="zh-CN"/>
        </w:rPr>
        <w:t>综合楼、东冠校区（15、17）号楼</w:t>
      </w:r>
    </w:p>
    <w:p w14:paraId="2228C84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404040"/>
          <w:spacing w:val="0"/>
          <w:sz w:val="32"/>
          <w:szCs w:val="32"/>
          <w:shd w:val="clear" w:fill="FFFFFF"/>
        </w:rPr>
        <w:t>状态：管网压力符合标准，控制柜手自动切换功能正常</w:t>
      </w:r>
      <w:r>
        <w:rPr>
          <w:rFonts w:hint="eastAsia" w:ascii="仿宋_GB2312" w:hAnsi="仿宋_GB2312" w:eastAsia="仿宋_GB2312" w:cs="仿宋_GB2312"/>
          <w:i w:val="0"/>
          <w:iCs w:val="0"/>
          <w:caps w:val="0"/>
          <w:color w:val="404040"/>
          <w:spacing w:val="0"/>
          <w:sz w:val="32"/>
          <w:szCs w:val="32"/>
          <w:shd w:val="clear" w:fill="FFFFFF"/>
          <w:lang w:eastAsia="zh-CN"/>
        </w:rPr>
        <w:t>。</w:t>
      </w:r>
    </w:p>
    <w:p w14:paraId="44A210A7">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440" w:lineRule="exact"/>
        <w:ind w:left="0" w:firstLine="0"/>
        <w:textAlignment w:val="auto"/>
        <w:rPr>
          <w:rFonts w:hint="eastAsia" w:ascii="楷体_GB2312" w:hAnsi="楷体_GB2312" w:eastAsia="楷体_GB2312" w:cs="楷体_GB2312"/>
          <w:sz w:val="32"/>
          <w:szCs w:val="32"/>
        </w:rPr>
      </w:pPr>
      <w:r>
        <w:rPr>
          <w:rStyle w:val="13"/>
          <w:rFonts w:hint="eastAsia" w:ascii="楷体_GB2312" w:hAnsi="楷体_GB2312" w:eastAsia="楷体_GB2312" w:cs="楷体_GB2312"/>
          <w:b/>
          <w:bCs/>
          <w:i w:val="0"/>
          <w:iCs w:val="0"/>
          <w:caps w:val="0"/>
          <w:color w:val="404040"/>
          <w:spacing w:val="0"/>
          <w:sz w:val="32"/>
          <w:szCs w:val="32"/>
          <w:shd w:val="clear" w:fill="FFFFFF"/>
          <w:lang w:eastAsia="zh-CN"/>
        </w:rPr>
        <w:t>（</w:t>
      </w: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三</w:t>
      </w:r>
      <w:r>
        <w:rPr>
          <w:rStyle w:val="13"/>
          <w:rFonts w:hint="eastAsia" w:ascii="楷体_GB2312" w:hAnsi="楷体_GB2312" w:eastAsia="楷体_GB2312" w:cs="楷体_GB2312"/>
          <w:b/>
          <w:bCs/>
          <w:i w:val="0"/>
          <w:iCs w:val="0"/>
          <w:caps w:val="0"/>
          <w:color w:val="404040"/>
          <w:spacing w:val="0"/>
          <w:sz w:val="32"/>
          <w:szCs w:val="32"/>
          <w:shd w:val="clear" w:fill="FFFFFF"/>
          <w:lang w:eastAsia="zh-CN"/>
        </w:rPr>
        <w:t>）</w:t>
      </w:r>
      <w:r>
        <w:rPr>
          <w:rStyle w:val="13"/>
          <w:rFonts w:hint="eastAsia" w:ascii="楷体_GB2312" w:hAnsi="楷体_GB2312" w:eastAsia="楷体_GB2312" w:cs="楷体_GB2312"/>
          <w:b/>
          <w:bCs/>
          <w:i w:val="0"/>
          <w:iCs w:val="0"/>
          <w:caps w:val="0"/>
          <w:color w:val="404040"/>
          <w:spacing w:val="0"/>
          <w:sz w:val="32"/>
          <w:szCs w:val="32"/>
          <w:shd w:val="clear" w:fill="FFFFFF"/>
        </w:rPr>
        <w:t>消防设施设备清单</w:t>
      </w:r>
    </w:p>
    <w:p w14:paraId="1964F15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3" w:firstLineChars="200"/>
        <w:textAlignment w:val="auto"/>
        <w:rPr>
          <w:rFonts w:hint="eastAsia" w:ascii="楷体_GB2312" w:hAnsi="楷体_GB2312" w:eastAsia="楷体_GB2312" w:cs="楷体_GB2312"/>
          <w:sz w:val="32"/>
          <w:szCs w:val="32"/>
        </w:rPr>
      </w:pP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1、</w:t>
      </w:r>
      <w:r>
        <w:rPr>
          <w:rStyle w:val="13"/>
          <w:rFonts w:hint="eastAsia" w:ascii="楷体_GB2312" w:hAnsi="楷体_GB2312" w:eastAsia="楷体_GB2312" w:cs="楷体_GB2312"/>
          <w:b/>
          <w:bCs/>
          <w:i w:val="0"/>
          <w:iCs w:val="0"/>
          <w:caps w:val="0"/>
          <w:color w:val="404040"/>
          <w:spacing w:val="0"/>
          <w:sz w:val="32"/>
          <w:szCs w:val="32"/>
          <w:shd w:val="clear" w:fill="FFFFFF"/>
        </w:rPr>
        <w:t>报警设备</w:t>
      </w:r>
    </w:p>
    <w:p w14:paraId="6EF9A41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i w:val="0"/>
          <w:iCs w:val="0"/>
          <w:caps w:val="0"/>
          <w:color w:val="404040"/>
          <w:spacing w:val="0"/>
          <w:sz w:val="32"/>
          <w:szCs w:val="32"/>
          <w:shd w:val="clear" w:fill="FFFFFF"/>
        </w:rPr>
      </w:pPr>
      <w:r>
        <w:rPr>
          <w:rFonts w:hint="eastAsia" w:ascii="仿宋_GB2312" w:hAnsi="仿宋_GB2312" w:eastAsia="仿宋_GB2312" w:cs="仿宋_GB2312"/>
          <w:i w:val="0"/>
          <w:iCs w:val="0"/>
          <w:caps w:val="0"/>
          <w:color w:val="404040"/>
          <w:spacing w:val="0"/>
          <w:sz w:val="32"/>
          <w:szCs w:val="32"/>
          <w:shd w:val="clear" w:fill="FFFFFF"/>
        </w:rPr>
        <w:t>烟感：</w:t>
      </w:r>
      <w:r>
        <w:rPr>
          <w:rFonts w:hint="eastAsia" w:ascii="仿宋_GB2312" w:hAnsi="仿宋_GB2312" w:eastAsia="仿宋_GB2312" w:cs="仿宋_GB2312"/>
          <w:i w:val="0"/>
          <w:iCs w:val="0"/>
          <w:caps w:val="0"/>
          <w:color w:val="404040"/>
          <w:spacing w:val="0"/>
          <w:sz w:val="32"/>
          <w:szCs w:val="32"/>
          <w:shd w:val="clear" w:fill="FFFFFF"/>
          <w:lang w:val="en-US" w:eastAsia="zh-CN"/>
        </w:rPr>
        <w:t>2577个</w:t>
      </w:r>
    </w:p>
    <w:p w14:paraId="7F9BA7C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温感：</w:t>
      </w:r>
      <w:r>
        <w:rPr>
          <w:rFonts w:hint="eastAsia" w:ascii="仿宋_GB2312" w:hAnsi="仿宋_GB2312" w:eastAsia="仿宋_GB2312" w:cs="仿宋_GB2312"/>
          <w:i w:val="0"/>
          <w:iCs w:val="0"/>
          <w:caps w:val="0"/>
          <w:color w:val="404040"/>
          <w:spacing w:val="0"/>
          <w:sz w:val="32"/>
          <w:szCs w:val="32"/>
          <w:shd w:val="clear" w:fill="FFFFFF"/>
          <w:lang w:val="en-US" w:eastAsia="zh-CN"/>
        </w:rPr>
        <w:t>144</w:t>
      </w:r>
      <w:r>
        <w:rPr>
          <w:rFonts w:hint="eastAsia" w:ascii="仿宋_GB2312" w:hAnsi="仿宋_GB2312" w:eastAsia="仿宋_GB2312" w:cs="仿宋_GB2312"/>
          <w:i w:val="0"/>
          <w:iCs w:val="0"/>
          <w:caps w:val="0"/>
          <w:color w:val="404040"/>
          <w:spacing w:val="0"/>
          <w:sz w:val="32"/>
          <w:szCs w:val="32"/>
          <w:shd w:val="clear" w:fill="FFFFFF"/>
        </w:rPr>
        <w:t>个</w:t>
      </w:r>
    </w:p>
    <w:p w14:paraId="43CE0F4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i w:val="0"/>
          <w:iCs w:val="0"/>
          <w:caps w:val="0"/>
          <w:color w:val="404040"/>
          <w:spacing w:val="0"/>
          <w:sz w:val="32"/>
          <w:szCs w:val="32"/>
          <w:shd w:val="clear" w:fill="FFFFFF"/>
        </w:rPr>
      </w:pPr>
      <w:r>
        <w:rPr>
          <w:rFonts w:hint="eastAsia" w:ascii="仿宋_GB2312" w:hAnsi="仿宋_GB2312" w:eastAsia="仿宋_GB2312" w:cs="仿宋_GB2312"/>
          <w:i w:val="0"/>
          <w:iCs w:val="0"/>
          <w:caps w:val="0"/>
          <w:color w:val="404040"/>
          <w:spacing w:val="0"/>
          <w:sz w:val="32"/>
          <w:szCs w:val="32"/>
          <w:shd w:val="clear" w:fill="FFFFFF"/>
        </w:rPr>
        <w:t>手动报警按钮：</w:t>
      </w:r>
      <w:r>
        <w:rPr>
          <w:rFonts w:hint="eastAsia" w:ascii="仿宋_GB2312" w:hAnsi="仿宋_GB2312" w:eastAsia="仿宋_GB2312" w:cs="仿宋_GB2312"/>
          <w:i w:val="0"/>
          <w:iCs w:val="0"/>
          <w:caps w:val="0"/>
          <w:color w:val="404040"/>
          <w:spacing w:val="0"/>
          <w:sz w:val="32"/>
          <w:szCs w:val="32"/>
          <w:shd w:val="clear" w:fill="FFFFFF"/>
          <w:lang w:val="en-US" w:eastAsia="zh-CN"/>
        </w:rPr>
        <w:t>359</w:t>
      </w:r>
      <w:r>
        <w:rPr>
          <w:rFonts w:hint="eastAsia" w:ascii="仿宋_GB2312" w:hAnsi="仿宋_GB2312" w:eastAsia="仿宋_GB2312" w:cs="仿宋_GB2312"/>
          <w:i w:val="0"/>
          <w:iCs w:val="0"/>
          <w:caps w:val="0"/>
          <w:color w:val="404040"/>
          <w:spacing w:val="0"/>
          <w:sz w:val="32"/>
          <w:szCs w:val="32"/>
          <w:shd w:val="clear" w:fill="FFFFFF"/>
        </w:rPr>
        <w:t>个</w:t>
      </w:r>
    </w:p>
    <w:p w14:paraId="50E8476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消火栓按钮：</w:t>
      </w:r>
      <w:r>
        <w:rPr>
          <w:rFonts w:hint="eastAsia" w:ascii="仿宋_GB2312" w:hAnsi="仿宋_GB2312" w:eastAsia="仿宋_GB2312" w:cs="仿宋_GB2312"/>
          <w:i w:val="0"/>
          <w:iCs w:val="0"/>
          <w:caps w:val="0"/>
          <w:color w:val="404040"/>
          <w:spacing w:val="0"/>
          <w:sz w:val="32"/>
          <w:szCs w:val="32"/>
          <w:shd w:val="clear" w:fill="FFFFFF"/>
          <w:lang w:val="en-US" w:eastAsia="zh-CN"/>
        </w:rPr>
        <w:t>571</w:t>
      </w:r>
      <w:r>
        <w:rPr>
          <w:rFonts w:hint="eastAsia" w:ascii="仿宋_GB2312" w:hAnsi="仿宋_GB2312" w:eastAsia="仿宋_GB2312" w:cs="仿宋_GB2312"/>
          <w:i w:val="0"/>
          <w:iCs w:val="0"/>
          <w:caps w:val="0"/>
          <w:color w:val="404040"/>
          <w:spacing w:val="0"/>
          <w:sz w:val="32"/>
          <w:szCs w:val="32"/>
          <w:shd w:val="clear" w:fill="FFFFFF"/>
        </w:rPr>
        <w:t>个</w:t>
      </w:r>
    </w:p>
    <w:p w14:paraId="3F09BD3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声光报警器：</w:t>
      </w:r>
      <w:r>
        <w:rPr>
          <w:rFonts w:hint="eastAsia" w:ascii="仿宋_GB2312" w:hAnsi="仿宋_GB2312" w:eastAsia="仿宋_GB2312" w:cs="仿宋_GB2312"/>
          <w:i w:val="0"/>
          <w:iCs w:val="0"/>
          <w:caps w:val="0"/>
          <w:color w:val="404040"/>
          <w:spacing w:val="0"/>
          <w:sz w:val="32"/>
          <w:szCs w:val="32"/>
          <w:shd w:val="clear" w:fill="FFFFFF"/>
          <w:lang w:val="en-US" w:eastAsia="zh-CN"/>
        </w:rPr>
        <w:t>373</w:t>
      </w:r>
      <w:r>
        <w:rPr>
          <w:rFonts w:hint="eastAsia" w:ascii="仿宋_GB2312" w:hAnsi="仿宋_GB2312" w:eastAsia="仿宋_GB2312" w:cs="仿宋_GB2312"/>
          <w:i w:val="0"/>
          <w:iCs w:val="0"/>
          <w:caps w:val="0"/>
          <w:color w:val="404040"/>
          <w:spacing w:val="0"/>
          <w:sz w:val="32"/>
          <w:szCs w:val="32"/>
          <w:shd w:val="clear" w:fill="FFFFFF"/>
        </w:rPr>
        <w:t>个</w:t>
      </w:r>
    </w:p>
    <w:p w14:paraId="37BD51F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i w:val="0"/>
          <w:iCs w:val="0"/>
          <w:caps w:val="0"/>
          <w:color w:val="404040"/>
          <w:spacing w:val="0"/>
          <w:sz w:val="32"/>
          <w:szCs w:val="32"/>
          <w:shd w:val="clear" w:fill="FFFFFF"/>
        </w:rPr>
      </w:pPr>
      <w:r>
        <w:rPr>
          <w:rFonts w:hint="eastAsia" w:ascii="仿宋_GB2312" w:hAnsi="仿宋_GB2312" w:eastAsia="仿宋_GB2312" w:cs="仿宋_GB2312"/>
          <w:i w:val="0"/>
          <w:iCs w:val="0"/>
          <w:caps w:val="0"/>
          <w:color w:val="404040"/>
          <w:spacing w:val="0"/>
          <w:sz w:val="32"/>
          <w:szCs w:val="32"/>
          <w:shd w:val="clear" w:fill="FFFFFF"/>
        </w:rPr>
        <w:t>广播：</w:t>
      </w:r>
      <w:r>
        <w:rPr>
          <w:rFonts w:hint="eastAsia" w:ascii="仿宋_GB2312" w:hAnsi="仿宋_GB2312" w:eastAsia="仿宋_GB2312" w:cs="仿宋_GB2312"/>
          <w:i w:val="0"/>
          <w:iCs w:val="0"/>
          <w:caps w:val="0"/>
          <w:color w:val="404040"/>
          <w:spacing w:val="0"/>
          <w:sz w:val="32"/>
          <w:szCs w:val="32"/>
          <w:shd w:val="clear" w:fill="FFFFFF"/>
          <w:lang w:val="en-US" w:eastAsia="zh-CN"/>
        </w:rPr>
        <w:t>261</w:t>
      </w:r>
      <w:r>
        <w:rPr>
          <w:rFonts w:hint="eastAsia" w:ascii="仿宋_GB2312" w:hAnsi="仿宋_GB2312" w:eastAsia="仿宋_GB2312" w:cs="仿宋_GB2312"/>
          <w:i w:val="0"/>
          <w:iCs w:val="0"/>
          <w:caps w:val="0"/>
          <w:color w:val="404040"/>
          <w:spacing w:val="0"/>
          <w:sz w:val="32"/>
          <w:szCs w:val="32"/>
          <w:shd w:val="clear" w:fill="FFFFFF"/>
        </w:rPr>
        <w:t>个</w:t>
      </w:r>
    </w:p>
    <w:p w14:paraId="29F40CF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default" w:ascii="仿宋_GB2312" w:hAnsi="仿宋_GB2312" w:eastAsia="仿宋_GB2312" w:cs="仿宋_GB2312"/>
          <w:i w:val="0"/>
          <w:iCs w:val="0"/>
          <w:caps w:val="0"/>
          <w:color w:val="404040"/>
          <w:spacing w:val="0"/>
          <w:sz w:val="32"/>
          <w:szCs w:val="32"/>
          <w:shd w:val="clear" w:fill="FFFFFF"/>
          <w:lang w:val="en-US" w:eastAsia="zh-CN"/>
        </w:rPr>
      </w:pPr>
      <w:r>
        <w:rPr>
          <w:rFonts w:hint="eastAsia" w:ascii="仿宋_GB2312" w:hAnsi="仿宋_GB2312" w:eastAsia="仿宋_GB2312" w:cs="仿宋_GB2312"/>
          <w:i w:val="0"/>
          <w:iCs w:val="0"/>
          <w:caps w:val="0"/>
          <w:color w:val="404040"/>
          <w:spacing w:val="0"/>
          <w:sz w:val="32"/>
          <w:szCs w:val="32"/>
          <w:shd w:val="clear" w:fill="FFFFFF"/>
          <w:lang w:val="en-US" w:eastAsia="zh-CN"/>
        </w:rPr>
        <w:t>层显：88个</w:t>
      </w:r>
    </w:p>
    <w:p w14:paraId="1156499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警铃：9个</w:t>
      </w:r>
    </w:p>
    <w:p w14:paraId="11E36F4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3" w:firstLineChars="200"/>
        <w:textAlignment w:val="auto"/>
        <w:rPr>
          <w:rFonts w:hint="eastAsia" w:ascii="楷体_GB2312" w:hAnsi="楷体_GB2312" w:eastAsia="楷体_GB2312" w:cs="楷体_GB2312"/>
          <w:sz w:val="32"/>
          <w:szCs w:val="32"/>
        </w:rPr>
      </w:pP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2、</w:t>
      </w:r>
      <w:r>
        <w:rPr>
          <w:rStyle w:val="13"/>
          <w:rFonts w:hint="eastAsia" w:ascii="楷体_GB2312" w:hAnsi="楷体_GB2312" w:eastAsia="楷体_GB2312" w:cs="楷体_GB2312"/>
          <w:b/>
          <w:bCs/>
          <w:i w:val="0"/>
          <w:iCs w:val="0"/>
          <w:caps w:val="0"/>
          <w:color w:val="404040"/>
          <w:spacing w:val="0"/>
          <w:sz w:val="32"/>
          <w:szCs w:val="32"/>
          <w:shd w:val="clear" w:fill="FFFFFF"/>
        </w:rPr>
        <w:t>防排烟与疏散设施</w:t>
      </w:r>
    </w:p>
    <w:p w14:paraId="302FB80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排烟风机：</w:t>
      </w:r>
      <w:r>
        <w:rPr>
          <w:rFonts w:hint="eastAsia" w:ascii="仿宋_GB2312" w:hAnsi="仿宋_GB2312" w:eastAsia="仿宋_GB2312" w:cs="仿宋_GB2312"/>
          <w:i w:val="0"/>
          <w:iCs w:val="0"/>
          <w:caps w:val="0"/>
          <w:color w:val="404040"/>
          <w:spacing w:val="0"/>
          <w:sz w:val="32"/>
          <w:szCs w:val="32"/>
          <w:shd w:val="clear" w:fill="FFFFFF"/>
          <w:lang w:val="en-US" w:eastAsia="zh-CN"/>
        </w:rPr>
        <w:t>49</w:t>
      </w:r>
      <w:r>
        <w:rPr>
          <w:rFonts w:hint="eastAsia" w:ascii="仿宋_GB2312" w:hAnsi="仿宋_GB2312" w:eastAsia="仿宋_GB2312" w:cs="仿宋_GB2312"/>
          <w:i w:val="0"/>
          <w:iCs w:val="0"/>
          <w:caps w:val="0"/>
          <w:color w:val="404040"/>
          <w:spacing w:val="0"/>
          <w:sz w:val="32"/>
          <w:szCs w:val="32"/>
          <w:shd w:val="clear" w:fill="FFFFFF"/>
        </w:rPr>
        <w:t>台</w:t>
      </w:r>
    </w:p>
    <w:p w14:paraId="2347EAE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送风机：4台</w:t>
      </w:r>
    </w:p>
    <w:p w14:paraId="0954DA7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防火卷帘：</w:t>
      </w:r>
      <w:r>
        <w:rPr>
          <w:rFonts w:hint="eastAsia" w:ascii="仿宋_GB2312" w:hAnsi="仿宋_GB2312" w:eastAsia="仿宋_GB2312" w:cs="仿宋_GB2312"/>
          <w:i w:val="0"/>
          <w:iCs w:val="0"/>
          <w:caps w:val="0"/>
          <w:color w:val="404040"/>
          <w:spacing w:val="0"/>
          <w:sz w:val="32"/>
          <w:szCs w:val="32"/>
          <w:shd w:val="clear" w:fill="FFFFFF"/>
          <w:lang w:val="en-US" w:eastAsia="zh-CN"/>
        </w:rPr>
        <w:t>22</w:t>
      </w:r>
      <w:r>
        <w:rPr>
          <w:rFonts w:hint="eastAsia" w:ascii="仿宋_GB2312" w:hAnsi="仿宋_GB2312" w:eastAsia="仿宋_GB2312" w:cs="仿宋_GB2312"/>
          <w:i w:val="0"/>
          <w:iCs w:val="0"/>
          <w:caps w:val="0"/>
          <w:color w:val="404040"/>
          <w:spacing w:val="0"/>
          <w:sz w:val="32"/>
          <w:szCs w:val="32"/>
          <w:shd w:val="clear" w:fill="FFFFFF"/>
        </w:rPr>
        <w:t>樘</w:t>
      </w:r>
    </w:p>
    <w:p w14:paraId="3D9225B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防火门：</w:t>
      </w:r>
      <w:r>
        <w:rPr>
          <w:rFonts w:hint="eastAsia" w:ascii="仿宋_GB2312" w:hAnsi="仿宋_GB2312" w:eastAsia="仿宋_GB2312" w:cs="仿宋_GB2312"/>
          <w:i w:val="0"/>
          <w:iCs w:val="0"/>
          <w:caps w:val="0"/>
          <w:color w:val="404040"/>
          <w:spacing w:val="0"/>
          <w:sz w:val="32"/>
          <w:szCs w:val="32"/>
          <w:shd w:val="clear" w:fill="FFFFFF"/>
          <w:lang w:val="en-US" w:eastAsia="zh-CN"/>
        </w:rPr>
        <w:t>513</w:t>
      </w:r>
      <w:r>
        <w:rPr>
          <w:rFonts w:hint="eastAsia" w:ascii="仿宋_GB2312" w:hAnsi="仿宋_GB2312" w:eastAsia="仿宋_GB2312" w:cs="仿宋_GB2312"/>
          <w:i w:val="0"/>
          <w:iCs w:val="0"/>
          <w:caps w:val="0"/>
          <w:color w:val="404040"/>
          <w:spacing w:val="0"/>
          <w:sz w:val="32"/>
          <w:szCs w:val="32"/>
          <w:shd w:val="clear" w:fill="FFFFFF"/>
        </w:rPr>
        <w:t>扇</w:t>
      </w:r>
    </w:p>
    <w:p w14:paraId="5B8A5FE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安全出口：</w:t>
      </w:r>
      <w:r>
        <w:rPr>
          <w:rFonts w:hint="eastAsia" w:ascii="仿宋_GB2312" w:hAnsi="仿宋_GB2312" w:eastAsia="仿宋_GB2312" w:cs="仿宋_GB2312"/>
          <w:i w:val="0"/>
          <w:iCs w:val="0"/>
          <w:caps w:val="0"/>
          <w:color w:val="404040"/>
          <w:spacing w:val="0"/>
          <w:sz w:val="32"/>
          <w:szCs w:val="32"/>
          <w:shd w:val="clear" w:fill="FFFFFF"/>
          <w:lang w:val="en-US" w:eastAsia="zh-CN"/>
        </w:rPr>
        <w:t>512</w:t>
      </w:r>
      <w:r>
        <w:rPr>
          <w:rFonts w:hint="eastAsia" w:ascii="仿宋_GB2312" w:hAnsi="仿宋_GB2312" w:eastAsia="仿宋_GB2312" w:cs="仿宋_GB2312"/>
          <w:i w:val="0"/>
          <w:iCs w:val="0"/>
          <w:caps w:val="0"/>
          <w:color w:val="404040"/>
          <w:spacing w:val="0"/>
          <w:sz w:val="32"/>
          <w:szCs w:val="32"/>
          <w:shd w:val="clear" w:fill="FFFFFF"/>
        </w:rPr>
        <w:t>个</w:t>
      </w:r>
    </w:p>
    <w:p w14:paraId="7A7B58A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疏散指示标志：</w:t>
      </w:r>
      <w:r>
        <w:rPr>
          <w:rFonts w:hint="eastAsia" w:ascii="仿宋_GB2312" w:hAnsi="仿宋_GB2312" w:eastAsia="仿宋_GB2312" w:cs="仿宋_GB2312"/>
          <w:i w:val="0"/>
          <w:iCs w:val="0"/>
          <w:caps w:val="0"/>
          <w:color w:val="404040"/>
          <w:spacing w:val="0"/>
          <w:sz w:val="32"/>
          <w:szCs w:val="32"/>
          <w:shd w:val="clear" w:fill="FFFFFF"/>
          <w:lang w:val="en-US" w:eastAsia="zh-CN"/>
        </w:rPr>
        <w:t>958</w:t>
      </w:r>
      <w:r>
        <w:rPr>
          <w:rFonts w:hint="eastAsia" w:ascii="仿宋_GB2312" w:hAnsi="仿宋_GB2312" w:eastAsia="仿宋_GB2312" w:cs="仿宋_GB2312"/>
          <w:i w:val="0"/>
          <w:iCs w:val="0"/>
          <w:caps w:val="0"/>
          <w:color w:val="404040"/>
          <w:spacing w:val="0"/>
          <w:sz w:val="32"/>
          <w:szCs w:val="32"/>
          <w:shd w:val="clear" w:fill="FFFFFF"/>
        </w:rPr>
        <w:t>个</w:t>
      </w:r>
    </w:p>
    <w:p w14:paraId="74DF2DC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04040"/>
          <w:spacing w:val="0"/>
          <w:sz w:val="32"/>
          <w:szCs w:val="32"/>
          <w:shd w:val="clear" w:fill="FFFFFF"/>
        </w:rPr>
        <w:t>应急照明灯：</w:t>
      </w:r>
      <w:r>
        <w:rPr>
          <w:rFonts w:hint="eastAsia" w:ascii="仿宋_GB2312" w:hAnsi="仿宋_GB2312" w:eastAsia="仿宋_GB2312" w:cs="仿宋_GB2312"/>
          <w:i w:val="0"/>
          <w:iCs w:val="0"/>
          <w:caps w:val="0"/>
          <w:color w:val="404040"/>
          <w:spacing w:val="0"/>
          <w:sz w:val="32"/>
          <w:szCs w:val="32"/>
          <w:shd w:val="clear" w:fill="FFFFFF"/>
          <w:lang w:val="en-US" w:eastAsia="zh-CN"/>
        </w:rPr>
        <w:t>1249</w:t>
      </w:r>
      <w:r>
        <w:rPr>
          <w:rFonts w:hint="eastAsia" w:ascii="仿宋_GB2312" w:hAnsi="仿宋_GB2312" w:eastAsia="仿宋_GB2312" w:cs="仿宋_GB2312"/>
          <w:i w:val="0"/>
          <w:iCs w:val="0"/>
          <w:caps w:val="0"/>
          <w:color w:val="404040"/>
          <w:spacing w:val="0"/>
          <w:sz w:val="32"/>
          <w:szCs w:val="32"/>
          <w:shd w:val="clear" w:fill="FFFFFF"/>
        </w:rPr>
        <w:t>盏</w:t>
      </w:r>
    </w:p>
    <w:p w14:paraId="0F456DB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3" w:firstLineChars="200"/>
        <w:textAlignment w:val="auto"/>
        <w:rPr>
          <w:rFonts w:hint="eastAsia" w:ascii="楷体_GB2312" w:hAnsi="楷体_GB2312" w:eastAsia="楷体_GB2312" w:cs="楷体_GB2312"/>
          <w:sz w:val="32"/>
          <w:szCs w:val="32"/>
        </w:rPr>
      </w:pPr>
      <w:r>
        <w:rPr>
          <w:rStyle w:val="13"/>
          <w:rFonts w:hint="eastAsia" w:ascii="楷体_GB2312" w:hAnsi="楷体_GB2312" w:eastAsia="楷体_GB2312" w:cs="楷体_GB2312"/>
          <w:b/>
          <w:bCs/>
          <w:i w:val="0"/>
          <w:iCs w:val="0"/>
          <w:caps w:val="0"/>
          <w:color w:val="404040"/>
          <w:spacing w:val="0"/>
          <w:sz w:val="32"/>
          <w:szCs w:val="32"/>
          <w:shd w:val="clear" w:fill="FFFFFF"/>
          <w:lang w:val="en-US" w:eastAsia="zh-CN"/>
        </w:rPr>
        <w:t>3、</w:t>
      </w:r>
      <w:r>
        <w:rPr>
          <w:rStyle w:val="13"/>
          <w:rFonts w:hint="eastAsia" w:ascii="楷体_GB2312" w:hAnsi="楷体_GB2312" w:eastAsia="楷体_GB2312" w:cs="楷体_GB2312"/>
          <w:b/>
          <w:bCs/>
          <w:i w:val="0"/>
          <w:iCs w:val="0"/>
          <w:caps w:val="0"/>
          <w:color w:val="404040"/>
          <w:spacing w:val="0"/>
          <w:sz w:val="32"/>
          <w:szCs w:val="32"/>
          <w:shd w:val="clear" w:fill="FFFFFF"/>
        </w:rPr>
        <w:t>供水设施</w:t>
      </w:r>
    </w:p>
    <w:p w14:paraId="63C594A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iCs w:val="0"/>
          <w:caps w:val="0"/>
          <w:color w:val="404040"/>
          <w:spacing w:val="0"/>
          <w:sz w:val="32"/>
          <w:szCs w:val="32"/>
          <w:shd w:val="clear" w:fill="FFFFFF"/>
        </w:rPr>
        <w:t>消防水池容积：</w:t>
      </w:r>
      <w:r>
        <w:rPr>
          <w:rFonts w:hint="eastAsia" w:ascii="仿宋_GB2312" w:hAnsi="仿宋_GB2312" w:eastAsia="仿宋_GB2312" w:cs="仿宋_GB2312"/>
          <w:b w:val="0"/>
          <w:bCs w:val="0"/>
          <w:i w:val="0"/>
          <w:iCs w:val="0"/>
          <w:caps w:val="0"/>
          <w:color w:val="404040"/>
          <w:spacing w:val="0"/>
          <w:sz w:val="32"/>
          <w:szCs w:val="32"/>
          <w:shd w:val="clear" w:fill="FFFFFF"/>
          <w:lang w:val="en-US" w:eastAsia="zh-CN"/>
        </w:rPr>
        <w:t>12号楼</w:t>
      </w:r>
      <w:r>
        <w:rPr>
          <w:rFonts w:hint="eastAsia" w:ascii="仿宋_GB2312" w:hAnsi="仿宋_GB2312" w:eastAsia="仿宋_GB2312" w:cs="仿宋_GB2312"/>
          <w:b w:val="0"/>
          <w:bCs w:val="0"/>
          <w:i w:val="0"/>
          <w:iCs w:val="0"/>
          <w:caps w:val="0"/>
          <w:color w:val="404040"/>
          <w:spacing w:val="0"/>
          <w:sz w:val="32"/>
          <w:szCs w:val="32"/>
          <w:shd w:val="clear" w:fill="FFFFFF"/>
        </w:rPr>
        <w:t>250m³</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综合楼486m³</w:t>
      </w:r>
    </w:p>
    <w:p w14:paraId="76A81E3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iCs w:val="0"/>
          <w:caps w:val="0"/>
          <w:color w:val="404040"/>
          <w:spacing w:val="0"/>
          <w:sz w:val="32"/>
          <w:szCs w:val="32"/>
          <w:shd w:val="clear" w:fill="FFFFFF"/>
        </w:rPr>
        <w:t>高位消防水箱容积：</w:t>
      </w:r>
      <w:r>
        <w:rPr>
          <w:rFonts w:hint="eastAsia" w:ascii="仿宋_GB2312" w:hAnsi="仿宋_GB2312" w:eastAsia="仿宋_GB2312" w:cs="仿宋_GB2312"/>
          <w:b w:val="0"/>
          <w:bCs w:val="0"/>
          <w:i w:val="0"/>
          <w:iCs w:val="0"/>
          <w:caps w:val="0"/>
          <w:color w:val="404040"/>
          <w:spacing w:val="0"/>
          <w:sz w:val="32"/>
          <w:szCs w:val="32"/>
          <w:shd w:val="clear" w:fill="FFFFFF"/>
          <w:lang w:val="en-US" w:eastAsia="zh-CN"/>
        </w:rPr>
        <w:t>8号楼楼顶</w:t>
      </w:r>
      <w:r>
        <w:rPr>
          <w:rFonts w:hint="eastAsia" w:ascii="仿宋_GB2312" w:hAnsi="仿宋_GB2312" w:eastAsia="仿宋_GB2312" w:cs="仿宋_GB2312"/>
          <w:b w:val="0"/>
          <w:bCs w:val="0"/>
          <w:i w:val="0"/>
          <w:iCs w:val="0"/>
          <w:caps w:val="0"/>
          <w:color w:val="404040"/>
          <w:spacing w:val="0"/>
          <w:sz w:val="32"/>
          <w:szCs w:val="32"/>
          <w:shd w:val="clear" w:fill="FFFFFF"/>
        </w:rPr>
        <w:t>25m³</w:t>
      </w:r>
      <w:r>
        <w:rPr>
          <w:rFonts w:hint="eastAsia" w:ascii="仿宋_GB2312" w:hAnsi="仿宋_GB2312" w:eastAsia="仿宋_GB2312" w:cs="仿宋_GB2312"/>
          <w:b w:val="0"/>
          <w:bCs w:val="0"/>
          <w:i w:val="0"/>
          <w:iCs w:val="0"/>
          <w:caps w:val="0"/>
          <w:color w:val="404040"/>
          <w:spacing w:val="0"/>
          <w:sz w:val="32"/>
          <w:szCs w:val="32"/>
          <w:shd w:val="clear" w:fill="FFFFFF"/>
          <w:lang w:eastAsia="zh-CN"/>
        </w:rPr>
        <w:t>、</w:t>
      </w:r>
      <w:r>
        <w:rPr>
          <w:rFonts w:hint="eastAsia" w:ascii="仿宋_GB2312" w:hAnsi="仿宋_GB2312" w:eastAsia="仿宋_GB2312" w:cs="仿宋_GB2312"/>
          <w:b w:val="0"/>
          <w:bCs w:val="0"/>
          <w:i w:val="0"/>
          <w:iCs w:val="0"/>
          <w:caps w:val="0"/>
          <w:color w:val="404040"/>
          <w:spacing w:val="0"/>
          <w:sz w:val="32"/>
          <w:szCs w:val="32"/>
          <w:shd w:val="clear" w:fill="FFFFFF"/>
          <w:lang w:val="en-US" w:eastAsia="zh-CN"/>
        </w:rPr>
        <w:t>综合楼楼顶36m³、 东冠校区17号楼楼顶18m³</w:t>
      </w:r>
    </w:p>
    <w:p w14:paraId="6AB452EB">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二、维保</w:t>
      </w:r>
      <w:r>
        <w:rPr>
          <w:rFonts w:hint="eastAsia" w:ascii="黑体" w:hAnsi="黑体" w:eastAsia="黑体" w:cs="黑体"/>
          <w:b/>
          <w:bCs/>
          <w:sz w:val="32"/>
          <w:szCs w:val="32"/>
        </w:rPr>
        <w:t xml:space="preserve">需求清单 </w:t>
      </w:r>
    </w:p>
    <w:p w14:paraId="59288C0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火灾自动报警系统</w:t>
      </w:r>
    </w:p>
    <w:p w14:paraId="5AEA534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1、技术要求</w:t>
      </w:r>
    </w:p>
    <w:p w14:paraId="698BE6D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1.1火灾自动报警系统平时应处于正常的监视状态。</w:t>
      </w:r>
    </w:p>
    <w:p w14:paraId="5E82EC0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1.2火灾报警控制器、消防联动控制器、火灾显示盘、CRT图形显示器、可燃气体报警控制器、电气火灾控制器、防火门控制器、消防电源控制器等固定牢固、外观完好、状态显示正常。</w:t>
      </w:r>
    </w:p>
    <w:p w14:paraId="563077B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1.3火灾报警控制器、可燃气体报警控制器的自检、消音、复位、故障报警、主备电自动转换、火灾报警、联动控制等功能正常，打印机工作状态正常。</w:t>
      </w:r>
    </w:p>
    <w:p w14:paraId="0772374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1.4火灾探测器安装应牢固，无松动、脱落、丢失和被遮挡现象，报警功能应正常。</w:t>
      </w:r>
    </w:p>
    <w:p w14:paraId="2083C6B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1.5手动火灾报警按钮安装应牢固，无松动、脱落、丢失和被遮挡现象，报警功能应正常。</w:t>
      </w:r>
    </w:p>
    <w:p w14:paraId="3F1C375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1.6消防应急广播系统工作状态应正常；火灾警报装置、消防应急广播扬声器安装应牢固，外观完好，应能用话筒播音；火灾报警后，应按设定的控制程序自动启动火灾警报和消防应急广播，播音区域应正确、音质清晰。</w:t>
      </w:r>
    </w:p>
    <w:p w14:paraId="523445C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1.7消防电话总机工作状态应正常，消防控制室应能接收插孔电话和消防专用电话分机的呼叫，通话音质清晰。</w:t>
      </w:r>
    </w:p>
    <w:p w14:paraId="316FCA0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1.8集中火灾自动报警系统的联动控制功能应正常。</w:t>
      </w:r>
    </w:p>
    <w:p w14:paraId="068F139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rPr>
        <w:t>2、检查内容</w:t>
      </w:r>
    </w:p>
    <w:p w14:paraId="719912B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2.1每月应检查火灾报警控制器的工作状态，检查火灾报警控制器的火警、故障、反馈、监管、动作、屏蔽等相关信息。</w:t>
      </w:r>
    </w:p>
    <w:p w14:paraId="1409101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2.2每月应检查传输主机的工作状态，检查传输主机是否能够正常接收火警、故障等相关信息。</w:t>
      </w:r>
    </w:p>
    <w:p w14:paraId="58AE061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2.3每月应检查火灾报警控制器、消防联动控制器、火灾显示盘、CRT图形显示器、可燃气体报警控制器、消防应急广播主机、传输主机等安装牢固情况，外观和状态显示。</w:t>
      </w:r>
    </w:p>
    <w:p w14:paraId="4A910E7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2.4每月应检查火灾报警控制器的自检、消音、复位、故障报警、主备电自动转换、火灾报警、联动控制功能和打印机状态。</w:t>
      </w:r>
    </w:p>
    <w:p w14:paraId="2C8D5B2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2.5每季度应查验25%的火灾探测器的安装和周围环境；在试验烟气或温度、测试气体作用下动作，向火灾报警控制器输出火警信号并启动探测器报警确认灯。</w:t>
      </w:r>
    </w:p>
    <w:p w14:paraId="3998193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2.6每季度应查验25%手动火灾报警按钮的安装和周围环境；手动按下手动火灾报警按钮，向火灾报警控制器输出火警信号，并启动手动火灾报警按钮报警确认灯。</w:t>
      </w:r>
    </w:p>
    <w:p w14:paraId="2A4D30B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2.7每季度查验火灾警报装置、消防应急广播扬声器的安装牢固情况，用话筒播音，检查扬声器的音质。</w:t>
      </w:r>
    </w:p>
    <w:p w14:paraId="1B6048F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2.8每季度应检查消防电话总机的工作状态，用重点场所消防电话分机与消防控制室进行通话。每季度用插孔电话对不少于25%的电话插孔与消防控制室进行通话，查验通话效果。</w:t>
      </w:r>
    </w:p>
    <w:p w14:paraId="0BF2F95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2.9每季度应查验不小于25%的联动控制设备，模拟火灾状态或手动启动联动控制设备，查看各系统的动作、反馈。</w:t>
      </w:r>
    </w:p>
    <w:p w14:paraId="5092A00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2.10每季度切断火灾报警控制器和传输主机的主电源，测试备用电源是否能够正常启动。</w:t>
      </w:r>
    </w:p>
    <w:p w14:paraId="683129C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70290CC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3.1每半年应对火灾报警控制器、联动控制器及传输主机进行内外机柜清洁。</w:t>
      </w:r>
    </w:p>
    <w:p w14:paraId="2A13ACD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3.2每半年应对端子箱、模块箱进行内外机柜除尘。</w:t>
      </w:r>
    </w:p>
    <w:p w14:paraId="06D0812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3.3每年应清洁应急广播系统主机和扬声器。</w:t>
      </w:r>
    </w:p>
    <w:p w14:paraId="48FDA28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3.4每年应清洁消防电话总机和消防专用电话。</w:t>
      </w:r>
    </w:p>
    <w:p w14:paraId="26DB64E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3.5每年应检查设备、支架和紧固件，存在明显锈蚀的应及时维护。</w:t>
      </w:r>
    </w:p>
    <w:p w14:paraId="4EBEBA1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、消防供水设施</w:t>
      </w:r>
    </w:p>
    <w:p w14:paraId="273A55E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4C38937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1.1消防水池水位应正常，最高、最低水位报警功能应正常，消防水池补水设施应正常，寒冷地区的消防水池应采取防冻措施。</w:t>
      </w:r>
    </w:p>
    <w:p w14:paraId="35DCBBA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1.2高位消防水箱水位应正常，消防水箱补水设施应正常，寒冷地区的消防水箱应采取防冻措施，消防水箱出水管阀门应开启并有明显标志，出水管上的止回阀关闭时应当严密。</w:t>
      </w:r>
    </w:p>
    <w:p w14:paraId="592DF9A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稳压泵、气压水罐和稳压泵控制柜安装应牢固，运行平稳，无明显锈蚀。稳压泵控制柜指示灯显示应正常，并处于自动工作状态；稳压泵启动、停止运行应正常；管网压力显示应正常。稳压泵进、出口阀门应开启，并有明显标志，应无跑、冒、滴、漏现象。</w:t>
      </w:r>
    </w:p>
    <w:p w14:paraId="367C4D6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1.4消防水泵控制柜安装应牢固、外观完好、无明显锈蚀；应处于自动状态；手动启停消防水泵主泵和备用泵，应运行平稳，主、备消防泵应具有自动切换功能；具备自动巡检功能的，巡检周期不宜大于7d。</w:t>
      </w:r>
    </w:p>
    <w:p w14:paraId="6378C09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1.5消防水泵及消防管道安装应牢固、外观完好、无明显锈蚀且铭牌清晰。进、出口阀门常开，启闭标志牌正确；消防水泵的进、出口宜设压力表，显示正常。</w:t>
      </w:r>
    </w:p>
    <w:p w14:paraId="4545FF8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1.6水泵接合器外观完好，控制阀应常开，且启闭灵活；组件应齐全完整，无明显锈蚀，地下水泵接合器井内无积水；水泵接合器周围无遮挡物。</w:t>
      </w:r>
    </w:p>
    <w:p w14:paraId="70DBCB5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1.7消防供水设施启动功能正常。</w:t>
      </w:r>
    </w:p>
    <w:p w14:paraId="36374D6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2、检查内容</w:t>
      </w:r>
    </w:p>
    <w:p w14:paraId="464628F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2.1每月应检查消防水池水位显示装置及消防水池水位，设置有消防水池液位自动报警装置的，应查看信号传送到报警控制器的情况。</w:t>
      </w:r>
    </w:p>
    <w:p w14:paraId="3272AE7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2.2每月应检查消防水箱水位显示装置及水位，液位计角阀状态；设置有消防水箱液位自动报警装置的，应每月查看信号传送到报警控制器的情况。每月查看补水设施状态和消防水箱出口阀门状态。</w:t>
      </w:r>
    </w:p>
    <w:p w14:paraId="21F78E5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2.3每月应查看稳压泵、气压水罐和稳压泵控制柜安装和外观，分别手动启动主稳压泵和备用稳压泵，查看运行状态；查验水泵控制柜工作状态。检查稳压泵进、出口阀门开启状态。</w:t>
      </w:r>
    </w:p>
    <w:p w14:paraId="4571238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2.4每月应检查消防水泵控制柜安装牢固情况、外观。每月手动分别启动消防水泵主泵和备用泵，观察消防水泵运行情况，并手动停止。</w:t>
      </w:r>
    </w:p>
    <w:p w14:paraId="0836334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2.5每月应查看消防水泵及消防管道安装、外观和铭牌状态；查看消防水泵和进、出口阀门的标志。检查每个阀门开启状态。查看消防水泵进、出口管道上压力表状态。</w:t>
      </w:r>
    </w:p>
    <w:p w14:paraId="6FCFC28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2.6每月应查看水泵接合器标志、外观状态，查看控制阀开启和外观状态；每月检查地下水泵接合器环境状况。</w:t>
      </w:r>
    </w:p>
    <w:p w14:paraId="208F56E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2.7每月应打开试验消火栓或末端试水装置，测试消防供水设施启动情况。</w:t>
      </w:r>
    </w:p>
    <w:p w14:paraId="3EE4A9D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2.8每年模拟主泵故障，查看自动切换启动备用泵情况。消防控制室远程启动、停止每台消防水泵，查看水泵运行、停止信号反馈情况（若有）。</w:t>
      </w:r>
    </w:p>
    <w:p w14:paraId="77641CA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24B1D0D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3.1每季度应检查稳压泵控制柜和消防水泵控制柜内电器元件有无松动、烧损现象，及时紧固或更换。</w:t>
      </w:r>
    </w:p>
    <w:p w14:paraId="0E77921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3.2每半年应清洁稳压泵、气压水罐、消防水泵及消防管道外观，每半年清洁稳压泵控制柜和消防水泵控制柜。</w:t>
      </w:r>
    </w:p>
    <w:p w14:paraId="17731B1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3.3每年应对水泵接合器闷盖和阀门丝杆加黄油润滑。</w:t>
      </w:r>
    </w:p>
    <w:p w14:paraId="313C156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3.4每年应对消防管网主要阀门进行1次开启和关闭操作。</w:t>
      </w:r>
    </w:p>
    <w:p w14:paraId="5020983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3.5每年应检查设备、管道及支架，存在明显锈蚀的应及时维护。</w:t>
      </w:r>
    </w:p>
    <w:p w14:paraId="1692EAE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、消火栓系统</w:t>
      </w:r>
    </w:p>
    <w:p w14:paraId="57D7E6A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13F787A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1.1室内消火栓箱安装应牢固，外观完好且有明显标志，箱内组件齐全完好，箱门开关灵活。室内消火栓不应被遮挡、圈占。</w:t>
      </w:r>
    </w:p>
    <w:p w14:paraId="278B0DE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1.2室内、外消火栓系统管网安装应牢固、外观完好、无变形、无渗漏、无明显锈蚀。</w:t>
      </w:r>
    </w:p>
    <w:p w14:paraId="254FF03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1.3室外消火栓安装应牢固，外观完好，无变形和机械损伤，组件齐全，开关灵活，地下消火栓标识应完整清晰，井内无积水。</w:t>
      </w:r>
    </w:p>
    <w:p w14:paraId="692E4F8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消火栓系统功能：静水压力应符合规范要求；消火栓动压应符合要求。消防水泵出水干管上设置的压力开关、高位消防水箱出水管上的流量开关等信号应直接自动启动，消防联动控制装置应能接收其反馈信号（若有）。</w:t>
      </w:r>
    </w:p>
    <w:p w14:paraId="2C5C363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2、检查内容</w:t>
      </w:r>
    </w:p>
    <w:p w14:paraId="1D0460C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2.1每月应检查室内外消火栓安装、外观、组件，开启和关闭室外消火栓。每月检查地下消火栓标识和井内环境。</w:t>
      </w:r>
    </w:p>
    <w:p w14:paraId="3D43093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2.2每季度应检查室内、外消火栓系统管网的安装、外观和管道阀门标识情况。</w:t>
      </w:r>
    </w:p>
    <w:p w14:paraId="5AC1562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2.3每季度应检查不少于25%的消火栓箱，一年内应检查所有消火栓箱。应查看消火栓箱安装和外观，查看标志、箱内组件、箱门和消火栓箱周边环境。</w:t>
      </w:r>
    </w:p>
    <w:p w14:paraId="28074B1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半年应对消火栓系统进行静压和动压测试。静压测试：使用消火栓系统试水检测装置，分别选择最不利处消火栓和最有利处消火栓，连接压力表及关闭闷盖，开启消火栓，分别测量栓口静水压力并记录。动压试验：选择最不利点处消火栓连接消火栓系统试水检测装置进行试水试验，查看消防水泵房内消防水泵启动和反馈信号，测量并记录最不利点处消火栓的出水压力。</w:t>
      </w:r>
    </w:p>
    <w:p w14:paraId="575E497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0D42F07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3.1每季度应清洁不少于25%的消火栓箱外部和箱内组件，一年内应全部清洁完毕。</w:t>
      </w:r>
    </w:p>
    <w:p w14:paraId="312FCF5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3.2每年应对消防管网主要阀门进行1次开启和关闭操作。</w:t>
      </w:r>
    </w:p>
    <w:p w14:paraId="4C8A9D4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3.3每年应对旋转式消火栓的转动部位加机油或黄油润滑。</w:t>
      </w:r>
    </w:p>
    <w:p w14:paraId="37C0C99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3.4每年应对地下消火栓闷盖和阀门丝杆加黄油润滑。</w:t>
      </w:r>
    </w:p>
    <w:p w14:paraId="29A2469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3.5每年应检查设备、管道及支架，存在明显锈蚀的应及时维护。</w:t>
      </w:r>
    </w:p>
    <w:p w14:paraId="701E5D1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、自动喷水灭火系统</w:t>
      </w:r>
    </w:p>
    <w:p w14:paraId="0DC3B62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7898B2F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报警阀组及管道安装应牢固、外观完好、无明显锈蚀且铭牌清晰，压力表显示应正常。报警阀组进、出口的控制阀应采用信号阀，不采用信号阀时，应用锁具固定阀位，阀门应常开并标识。报警阀组件应完整可靠，连接应正确，阀门标识应正确，开闭状态应符合规范要求。报警阀组位置应便于操作，周围无遮挡物，附近应有排水设施。报警阀组功能应满足规范和设计要求。</w:t>
      </w:r>
    </w:p>
    <w:p w14:paraId="6531B5D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1.2信号阀外观完好，无明显锈蚀，工作状态正常（常开），开/关动作应灵活，信号输出应正常（若有）。</w:t>
      </w:r>
    </w:p>
    <w:p w14:paraId="34305FD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1.3水流指示器外观完好，应有明显标志，火灾报警控制器能显示水流指示器动作信号，地址准确（若有）。</w:t>
      </w:r>
    </w:p>
    <w:p w14:paraId="3F39C42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1.4喷头安装应牢固，外观完好、无变形、附着物和悬挂物，喷头周围无遮挡物。</w:t>
      </w:r>
    </w:p>
    <w:p w14:paraId="336C13C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1.5末端试水装置和试水阀安装应牢固、便于操作且有排水设施，压力应符合规范要求。</w:t>
      </w:r>
    </w:p>
    <w:p w14:paraId="156DC1F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1.6自动喷水灭火系统功能应满足设计和规范要求。</w:t>
      </w:r>
    </w:p>
    <w:p w14:paraId="5BB0A4B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2、检查内容</w:t>
      </w:r>
    </w:p>
    <w:p w14:paraId="40F2067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检查报警阀组及管道安装、外观、铭牌、压力表显示。检查报警阀组的控制阀开启程度，查看启闭标志，检查信号阀反馈信号。不采用信号阀时，检查锁具固定阀位情况。检查报警阀安装位置、环境和排水设施，检查报警阀组功能：</w:t>
      </w:r>
    </w:p>
    <w:p w14:paraId="5476DD7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（1）在消防联动控制器设置在手动状态下，开启湿式报警阀组的试水阀，查看报警阀、水力警铃动作情况，压力开关动作直接启动喷淋泵情况；</w:t>
      </w:r>
    </w:p>
    <w:p w14:paraId="29FD90E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（2）在消防联动控制器设置在手动状态下，预作用自动喷水灭火系统报警阀测试，关闭系统侧控制阀（防止水流入系统侧），查看水力警铃鸣响，压力开关动作直接启动喷淋泵情况；</w:t>
      </w:r>
    </w:p>
    <w:p w14:paraId="34BC3D8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（3）缓慢开启干式报警阀试验阀小流量排气，空气压缩机启动后关闭试验阀，查看空气压缩机的运行情况、核对启停压力是否符合设计要求。</w:t>
      </w:r>
    </w:p>
    <w:p w14:paraId="50C84F2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2.2每月应检查信号阀外观和状态（常开），关闭/开启信号阀，关闭信号阀后，检查火灾报警控制器显示阀门关闭和地址信息（若有）。</w:t>
      </w:r>
    </w:p>
    <w:p w14:paraId="1F5237C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2.3每月检查末端试水装置和试水阀安装位置及排水设施；查看末端试水装置和试水阀压力表显示。</w:t>
      </w:r>
    </w:p>
    <w:p w14:paraId="07BFA24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2.4每季度应查看不少于25%的喷头，一年内全部查看完毕，查看喷头安装、外观和周围环境。</w:t>
      </w:r>
    </w:p>
    <w:p w14:paraId="61E96D5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2.5每季度应查看水流指示器外观和标志，模拟水流指示器动作，查看火灾报警控制器显示水流指示器动作信号和地址信息（若有）。</w:t>
      </w:r>
    </w:p>
    <w:p w14:paraId="233E1BD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2.6每年应对自动灭火系统的功能进行以下全覆盖测试：</w:t>
      </w:r>
    </w:p>
    <w:p w14:paraId="1264868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湿式系统功能测试：分别检查并记录每组报警阀最不利点处末端试水装置的压力表显示值；在消防联动控制器设置在手动状态下，开启报警阀最不利点处末端试水装置，在消防水泵房或报警阀室查看湿式报警阀动作、水力警铃鸣响和压力开关动作直接启动喷淋消防泵情况。在消防控制室查看水流指示器报警、压力开关动作报警和喷淋消防泵启动的反馈信号；</w:t>
      </w:r>
    </w:p>
    <w:p w14:paraId="7D656BF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干式系统功能测试：分别关闭每组干式报警阀出口控制阀，开启干式报警阀组的试水阀，检查压力开关和消防水泵、电磁阀的动作和排气阀的排气情况。在消防控制室查看压力开关、电动阀及消防水泵的动作反馈信号； </w:t>
      </w:r>
    </w:p>
    <w:p w14:paraId="6F6D14A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预作用系统功能测试：关闭预作用报警阀出口控制阀，先后触发防护区域内的两只相关火灾探测器或一只火灾探测器和一只手动报警按钮，检查预作用阀电磁阀、排气阀入口电动阀、压力开关、消防水泵的动作情况，消防控制室查看消防控制设备是否显示电动阀、压力开关及消防水泵的反馈信号。系统功能试验完毕后，必须将系统恢复到正常工作状态。</w:t>
      </w:r>
    </w:p>
    <w:p w14:paraId="682C6DD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6595243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3.1每半年应对报警阀及组件的外观进行1次清洁，对排水设施进行杂物清理。</w:t>
      </w:r>
    </w:p>
    <w:p w14:paraId="6A42250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3.2每年应对阀门丝杆加黄油润滑。</w:t>
      </w:r>
    </w:p>
    <w:p w14:paraId="6F32774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3.3每年应对消防管网主要阀门进行1次开启和关闭操作。</w:t>
      </w:r>
    </w:p>
    <w:p w14:paraId="7ED9405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3.4每年应检查设备、管道及支架，存在明显锈蚀的应及时维护。</w:t>
      </w:r>
    </w:p>
    <w:p w14:paraId="7EC5B55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五</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、气体灭火系统</w:t>
      </w:r>
    </w:p>
    <w:p w14:paraId="2DBE013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150FDB9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气体灭火控制器、火灾探测器、紧急启停按钮、声光警报装置、气体释放灯等固定应牢固，外观完好，工作状态应正常；防护区内泄压装置和事故排风装置应正常。气体灭火控制器功能应正常。包括报警功能、自动联动控制功能、紧急启动功能/停止功能、延时功能、启动电磁阀功能、控制声光警报装置功能、气体释放显示功能以及联动控制设备反馈功能。</w:t>
      </w:r>
    </w:p>
    <w:p w14:paraId="2B9BF23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1.2灭火剂储瓶和启动瓶固定应牢固，外观完好、铭牌和标志清晰。灭火剂储瓶和启动瓶的压力应符合要求。</w:t>
      </w:r>
    </w:p>
    <w:p w14:paraId="1603C68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1.3启动电磁阀固定应牢固，外观完好，导线连接可靠，运输安全销应拆除。</w:t>
      </w:r>
    </w:p>
    <w:p w14:paraId="1750FDF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1.4灭火剂储存容器及容器阀、单向阀、连接软管、集流管、选择阀、安全泄放装置和启动管路固定应牢固，外观完好。</w:t>
      </w:r>
    </w:p>
    <w:p w14:paraId="2BA84CB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1.5灭火剂输送管道和支、吊架固定应牢固，无变形、明显锈蚀。喷头固定应牢固，喷头孔口无堵塞，喷头周围1.5m无遮挡物。</w:t>
      </w:r>
    </w:p>
    <w:p w14:paraId="3180E98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1.6系统的模拟启动功能应正常。</w:t>
      </w:r>
    </w:p>
    <w:p w14:paraId="42CB619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1.7储气瓶和启动瓶的定期检验时间应符合《气瓶安全技术规程》（TSG23-2021）第9.4条有关规定。</w:t>
      </w:r>
    </w:p>
    <w:p w14:paraId="0C08EC0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2、检查内容</w:t>
      </w:r>
    </w:p>
    <w:p w14:paraId="7F3A5FB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2.1每月应检查灭火控制器、火灾探测器、紧急启停按钮、声光警报装置、气体释放灯等安装外观和工作状态。检查气体灭火控制器主备电切换功能、防护区内泄压装置和事故排风装置。</w:t>
      </w:r>
    </w:p>
    <w:p w14:paraId="5C92571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2.2每月应查看灭火剂输送管道和支、吊架及喷头安装、外观和喷头周围环境。</w:t>
      </w:r>
    </w:p>
    <w:p w14:paraId="68BE74E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2.3每月应检查灭火剂储瓶及启动瓶安装、外观和铭牌。每月检查灭火剂储瓶及启动瓶压力，不小于设计储存压力的90%。</w:t>
      </w:r>
    </w:p>
    <w:p w14:paraId="5BD31BE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2.4每月应检查启动电磁阀安装、外观，导线连接和运输安全销。</w:t>
      </w:r>
    </w:p>
    <w:p w14:paraId="0D99BC6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2.5每月应检查灭火剂储存容器及容器阀、单向阀、连接软管、集流管、选择阀、安全泄放装置和启动管路的固定牢固情况和外观。</w:t>
      </w:r>
    </w:p>
    <w:p w14:paraId="60CBB5B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2.6每季度应对气体灭火控制器进行功能测试。</w:t>
      </w:r>
    </w:p>
    <w:p w14:paraId="57435CE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2.7每年应对每个防护区进行1次模拟启动试验。</w:t>
      </w:r>
    </w:p>
    <w:p w14:paraId="7580EA6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3、维护要求</w:t>
      </w:r>
    </w:p>
    <w:p w14:paraId="6891830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3.1每半年应对气体灭火控制器进行内外机柜清洁。</w:t>
      </w:r>
    </w:p>
    <w:p w14:paraId="18F7208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3.2每半年应清洁气体灭火剂储存容器外观。</w:t>
      </w:r>
    </w:p>
    <w:p w14:paraId="7453D1B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3.3每年应检查设备、管道及支架，存在明显锈蚀的应及时维护。</w:t>
      </w:r>
    </w:p>
    <w:p w14:paraId="343EAFC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、防烟、排烟系统</w:t>
      </w:r>
    </w:p>
    <w:p w14:paraId="45DA1E9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671A06D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1.1建筑防烟排烟风机控制柜安装牢固，外观完好，仪表、指示灯和状态显示正常且处于自动状态。</w:t>
      </w:r>
    </w:p>
    <w:p w14:paraId="03A9183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建筑防烟排烟风机安装牢固，外观完好，无变形、无破损、无明显锈蚀。手动启动风机，风机应正常运转，叶轮旋转方向应正确、运转平稳、无异常振动与声响。能在消防控制室手动控制风机的启动、停止，风机的启动、停止状态信号应能反馈到消防控制室。</w:t>
      </w:r>
    </w:p>
    <w:p w14:paraId="239B10C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1.3建筑防烟排烟系统风管表面应平整，无破损、变形、明显锈蚀现象，风管固定应牢固、外观完好，无变形、无明显锈蚀、无脱漆。</w:t>
      </w:r>
    </w:p>
    <w:p w14:paraId="5B6BBF8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送风阀或送风口、排烟阀或排烟口等固定应牢固、外观完好。手动开启、复位，阀门动作应灵敏、可靠，关闭时应严密。远距离控制机构的脱扣钢丝连接不应松弛、脱落；模拟火灾，相应区域火灾报警后，同一防火分区的常闭送风口和同一防烟分区内的排烟阀或排烟口应联动开启；阀门开启后的状态信号应能反馈到消防控制室；阀门开启后应能联动相应的风机启动。</w:t>
      </w:r>
    </w:p>
    <w:p w14:paraId="5388B21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1.5排烟防火阀外观应完好；手动启动排烟风机，关闭排烟风机入口总管上设置的280℃排烟防火阀，排烟风机应自动关闭。</w:t>
      </w:r>
    </w:p>
    <w:p w14:paraId="570480E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防烟系统联动功能应符合要求：在同一个防火分区当任何一个常闭送风口开启时，相应的送风机均应能联动启动；当防火分区内火灾确认后，应在15s内启动相应的送风口、送风机，其状态信号应反馈到消防控制室。</w:t>
      </w:r>
    </w:p>
    <w:p w14:paraId="1DA27D5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机械排烟系统的联动功能应符合要求：在同一个防火分区当任何一个常闭排烟阀或排烟口开启时，排烟风机均应能联动启动。当火灾自动报警系统发出火警信号后，机械排烟系统应启动有关部位的排烟阀或排烟口、排烟风机；启动的排烟阀或排烟口、排烟风机应与设计和标准要求一致，其状态信号应反馈到消防控制室。有补风要求的机械排烟场所，当火灾确认后，补风系统应启动。</w:t>
      </w:r>
    </w:p>
    <w:p w14:paraId="17EA92E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2、检查内容</w:t>
      </w:r>
    </w:p>
    <w:p w14:paraId="2A6B518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2.1每月应查看防烟、排烟风机控制柜的安装是否牢固，查验外观和周围环境；检查仪表、指示灯的状态以及手/自动转换开关的状态。</w:t>
      </w:r>
    </w:p>
    <w:p w14:paraId="6BFB2A0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2.2每月应查看防烟、排烟风机安装和外观。</w:t>
      </w:r>
    </w:p>
    <w:p w14:paraId="322F558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2.3每月应检查风管和支、吊架的外观和固定情况。</w:t>
      </w:r>
    </w:p>
    <w:p w14:paraId="238D36D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2.4每月应检查送风阀或送风口、排烟阀或排烟口的外观和固定情况，每月应检查排烟防火阀外观。</w:t>
      </w:r>
    </w:p>
    <w:p w14:paraId="4798014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2.5每季度对防烟、排烟风机进行一次功能测试和供电线路检查。</w:t>
      </w:r>
    </w:p>
    <w:p w14:paraId="60473B6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2.6每半年应对排烟防火阀进行手动启动试验1次。</w:t>
      </w:r>
    </w:p>
    <w:p w14:paraId="6F3CF42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2.7每年应对防烟系统进行1次联动试验和性能检测。</w:t>
      </w:r>
    </w:p>
    <w:p w14:paraId="5FE21E3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2.8每年应对机械排烟系统进行1次联动试验和性能检测。</w:t>
      </w:r>
    </w:p>
    <w:p w14:paraId="1A04F49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2.9每年应对全部送风阀或送风口、排烟阀或排烟口进行自动和手动启动试验1次。</w:t>
      </w:r>
    </w:p>
    <w:p w14:paraId="736F5B7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685CE96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3.1每季度检查风机控制柜内电器元件有无松动、烧损现象，及时紧固或更换。</w:t>
      </w:r>
    </w:p>
    <w:p w14:paraId="4F72E7A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3.2每半年应清洁防烟排烟风机控制柜。</w:t>
      </w:r>
    </w:p>
    <w:p w14:paraId="427CD69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3.3每年应对送风阀、排烟阀、排烟防火阀、防火阀等传动机构进行润滑处理。</w:t>
      </w:r>
    </w:p>
    <w:p w14:paraId="0C6B98F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3.4每年应清洁送风口、风机进风口和排烟口。</w:t>
      </w:r>
    </w:p>
    <w:p w14:paraId="7B44D00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3.5每年应检查设备、管道及支架，存在明显锈蚀的应及时维护。</w:t>
      </w:r>
    </w:p>
    <w:p w14:paraId="51881EA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七</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、消防应急照明、疏散指示标志</w:t>
      </w:r>
    </w:p>
    <w:p w14:paraId="1831F04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3540873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1.1应急照明灯具和疏散指示标志安装应牢固、外观完好、无遮挡，工作状态正常。</w:t>
      </w:r>
    </w:p>
    <w:p w14:paraId="3B4E53E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1.2应急照明灯具和疏散指示标志的手动应急启动功能应正常（若有）。</w:t>
      </w:r>
    </w:p>
    <w:p w14:paraId="6C67404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1.3应急照明灯具和疏散指示标志的自动应急启动功能应正常。</w:t>
      </w:r>
    </w:p>
    <w:p w14:paraId="31CC6DD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1.4应急工作持续时间应符合要求。</w:t>
      </w:r>
    </w:p>
    <w:p w14:paraId="64D94D9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2、检查内容</w:t>
      </w:r>
    </w:p>
    <w:p w14:paraId="55D55A8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2.1每月应检查应急照明灯具和疏散指示标志的安装、外观和周边环境，检查电源指示灯。</w:t>
      </w:r>
    </w:p>
    <w:p w14:paraId="3B09214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2.2每季度应系统进行1次手动应急启动功能检查。</w:t>
      </w:r>
    </w:p>
    <w:p w14:paraId="04B8A49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2.3每年应对每一防火分区进行1次火灾状态下的自动应急启动功能检查。</w:t>
      </w:r>
    </w:p>
    <w:p w14:paraId="08E0B4A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2.4每年应对每台灯具至少进行1次蓄电池电源供电状态下的应急工作持续时间检查，不得少于30min。</w:t>
      </w:r>
    </w:p>
    <w:p w14:paraId="661E31F2">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745E24B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3.1每年应对应急照明集中电源和应急照明灯具和疏散指示标志进行1次全面清洁。</w:t>
      </w:r>
    </w:p>
    <w:p w14:paraId="5147376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3.2每年应对灯具蓄电池电源供电状态下的应急工作持续时间不符合要求的应及时更换。</w:t>
      </w:r>
    </w:p>
    <w:p w14:paraId="0D3705E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八</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rPr>
        <w:t>、防火分隔设施</w:t>
      </w:r>
    </w:p>
    <w:p w14:paraId="1143FEB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1、技术要求</w:t>
      </w:r>
    </w:p>
    <w:p w14:paraId="2C7125A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1.1防火门安装应牢固，外观完好，无脱漆、明显锈蚀、变形和机械损伤，铭牌清晰完整。门框与墙体密封严密，钢质门框内填充的不燃材料应密实。</w:t>
      </w:r>
    </w:p>
    <w:p w14:paraId="1448B48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1.2防火门组件（闭门器、顺序器、门把手、门锁等）齐全完整无缺失，状态正常。</w:t>
      </w:r>
    </w:p>
    <w:p w14:paraId="6B319A0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1.3防火门应具有自行关闭功能，双扇防火门应具有按顺序自行关闭的功能，防火门关闭应严密。</w:t>
      </w:r>
    </w:p>
    <w:p w14:paraId="43E3F88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1.4常开防火门应能在火灾时自行关闭，具有反馈功能（若有）。</w:t>
      </w:r>
    </w:p>
    <w:p w14:paraId="1628DE1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1.5防火门周围不应有障碍物。</w:t>
      </w:r>
    </w:p>
    <w:p w14:paraId="0C5A706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1.6防火卷帘门电控箱安装牢固，外观完好、无明显锈蚀和机械损伤，工作状态正常。</w:t>
      </w:r>
    </w:p>
    <w:p w14:paraId="100F75C1">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1.7防火卷帘外观完好，导轨牢固无明显锈蚀和机械损伤。防火卷帘组件应齐全完整，紧固件无松动现象，操作按钮完好。</w:t>
      </w:r>
    </w:p>
    <w:p w14:paraId="7CEB8FC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1.8防火卷帘与楼板、梁、墙、柱之间的空隙防火封堵应完好。</w:t>
      </w:r>
    </w:p>
    <w:p w14:paraId="3A370F30">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1.9防火卷帘应具有火灾时自动降落功能，且具有信号反馈的功能。</w:t>
      </w:r>
    </w:p>
    <w:p w14:paraId="610D77A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1.10如挡烟垂壁的挡烟部件表面不应有裂纹、压坑、缺角、孔洞及明显的凹凸、毛刺等缺陷；金属材料的防锈涂层或镀层应均匀，不应有斑剥、流淌现象。</w:t>
      </w:r>
    </w:p>
    <w:p w14:paraId="0EF8BF9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1.11电控箱安装牢固，外观完好、无明显锈蚀和机械损伤，工作状态正常，且具有信号反馈功能。</w:t>
      </w:r>
    </w:p>
    <w:p w14:paraId="54DDA556">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2、检查内容</w:t>
      </w:r>
    </w:p>
    <w:p w14:paraId="63D9B6AE">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2.1每月应查看防火门外观和标识。</w:t>
      </w:r>
    </w:p>
    <w:p w14:paraId="0034CBB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2.2每月应查看防火门组件和状态。</w:t>
      </w:r>
    </w:p>
    <w:p w14:paraId="13754D2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2.3每月应检查防火门周围环境。</w:t>
      </w:r>
    </w:p>
    <w:p w14:paraId="57F8B43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2.4每月应检查防火卷帘门控制箱安装、外观和工作状态指示。</w:t>
      </w:r>
    </w:p>
    <w:p w14:paraId="7B96026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2.5每月应检查防火卷帘外观及组件。</w:t>
      </w:r>
    </w:p>
    <w:p w14:paraId="1C67CD2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2.6每月应检查防火卷帘与楼板、梁、墙、柱之间的空隙防火封堵情况。</w:t>
      </w:r>
    </w:p>
    <w:p w14:paraId="0A4ADBD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2.7每季度应手动控制防火卷帘操作按钮控制防火卷帘的升降，查看防火卷帘运行、升降到位情况。</w:t>
      </w:r>
    </w:p>
    <w:p w14:paraId="6FA85E13">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2.8每季度模拟探测器报警的火灾状态或消防控制室手动控制防火卷帘控制模块，检查防火卷帘自动降落和反馈信号。</w:t>
      </w:r>
    </w:p>
    <w:p w14:paraId="6C91BF3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3、维护要求</w:t>
      </w:r>
    </w:p>
    <w:p w14:paraId="572C2C6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3.1每季度应检查闭门器，如有速度过快或过慢现象应及时维护。</w:t>
      </w:r>
    </w:p>
    <w:p w14:paraId="12A8BC9A">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3.2每年应清洁防火卷帘控制箱，检查防火卷帘控制箱内电器元件有无松动、烧损现象，及时紧固或更换。</w:t>
      </w:r>
    </w:p>
    <w:p w14:paraId="73B0CD9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3.3每年应对卷帘门装置进行维护。</w:t>
      </w:r>
    </w:p>
    <w:p w14:paraId="4DF84620">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2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除以上需求外还需完成以下项目</w:t>
      </w:r>
    </w:p>
    <w:p w14:paraId="5BA616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每周进行一次日常检查。</w:t>
      </w:r>
    </w:p>
    <w:p w14:paraId="289EF2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每月进行一次常规检查。</w:t>
      </w:r>
    </w:p>
    <w:p w14:paraId="26066178">
      <w:pPr>
        <w:keepNext w:val="0"/>
        <w:keepLines w:val="0"/>
        <w:pageBreakBefore w:val="0"/>
        <w:kinsoku/>
        <w:wordWrap/>
        <w:topLinePunct w:val="0"/>
        <w:bidi w:val="0"/>
        <w:snapToGrid/>
        <w:spacing w:line="560" w:lineRule="exact"/>
        <w:ind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每</w:t>
      </w:r>
      <w:r>
        <w:rPr>
          <w:rFonts w:hint="eastAsia" w:ascii="仿宋_GB2312" w:hAnsi="仿宋_GB2312" w:eastAsia="仿宋_GB2312" w:cs="仿宋_GB2312"/>
          <w:sz w:val="32"/>
          <w:szCs w:val="32"/>
          <w:lang w:val="en-US" w:eastAsia="zh-CN"/>
        </w:rPr>
        <w:t>半年</w:t>
      </w:r>
      <w:r>
        <w:rPr>
          <w:rFonts w:hint="eastAsia" w:ascii="仿宋_GB2312" w:hAnsi="仿宋_GB2312" w:eastAsia="仿宋_GB2312" w:cs="仿宋_GB2312"/>
          <w:sz w:val="32"/>
          <w:szCs w:val="32"/>
        </w:rPr>
        <w:t>一次对</w:t>
      </w:r>
      <w:r>
        <w:rPr>
          <w:rFonts w:hint="eastAsia" w:ascii="仿宋_GB2312" w:hAnsi="仿宋_GB2312" w:eastAsia="仿宋_GB2312" w:cs="仿宋_GB2312"/>
          <w:sz w:val="32"/>
          <w:szCs w:val="32"/>
          <w:lang w:val="en-US" w:eastAsia="zh-CN"/>
        </w:rPr>
        <w:t>消防各</w:t>
      </w:r>
      <w:r>
        <w:rPr>
          <w:rFonts w:hint="eastAsia" w:ascii="仿宋_GB2312" w:hAnsi="仿宋_GB2312" w:eastAsia="仿宋_GB2312" w:cs="仿宋_GB2312"/>
          <w:sz w:val="32"/>
          <w:szCs w:val="32"/>
        </w:rPr>
        <w:t>系统联动检查测试。</w:t>
      </w:r>
    </w:p>
    <w:p w14:paraId="05B7DC38">
      <w:pPr>
        <w:keepNext w:val="0"/>
        <w:keepLines w:val="0"/>
        <w:pageBreakBefore w:val="0"/>
        <w:kinsoku/>
        <w:wordWrap/>
        <w:topLinePunct w:val="0"/>
        <w:bidi w:val="0"/>
        <w:snapToGrid/>
        <w:spacing w:line="560" w:lineRule="exact"/>
        <w:ind w:firstLine="320" w:firstLineChars="1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4.每年对学校消防设施设备</w:t>
      </w:r>
      <w:r>
        <w:rPr>
          <w:rFonts w:hint="eastAsia" w:ascii="仿宋_GB2312" w:hAnsi="仿宋_GB2312" w:eastAsia="仿宋_GB2312" w:cs="仿宋_GB2312"/>
          <w:sz w:val="32"/>
          <w:szCs w:val="32"/>
        </w:rPr>
        <w:t>进行一次全面检测及试验。检测及试验内容包括：火灾自动报警系统、消火栓灭火系统、消防广播、消防对讲系统、应急照明和疏散指示系统、喷淋、雨淋等系统、防火卷帘门系统、防排烟系统-包括检测防排烟设备及防火阀的功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对上述全面检查测试中发现的问题故障及时</w:t>
      </w:r>
      <w:r>
        <w:rPr>
          <w:rFonts w:hint="eastAsia" w:ascii="仿宋_GB2312" w:hAnsi="仿宋_GB2312" w:eastAsia="仿宋_GB2312" w:cs="仿宋_GB2312"/>
          <w:sz w:val="32"/>
          <w:szCs w:val="32"/>
          <w:lang w:val="en-US" w:eastAsia="zh-CN"/>
        </w:rPr>
        <w:t>报学校职能部门并协助</w:t>
      </w:r>
      <w:r>
        <w:rPr>
          <w:rFonts w:hint="eastAsia" w:ascii="仿宋_GB2312" w:hAnsi="仿宋_GB2312" w:eastAsia="仿宋_GB2312" w:cs="仿宋_GB2312"/>
          <w:sz w:val="32"/>
          <w:szCs w:val="32"/>
        </w:rPr>
        <w:t>解决</w:t>
      </w:r>
      <w:r>
        <w:rPr>
          <w:rFonts w:hint="eastAsia" w:ascii="仿宋_GB2312" w:hAnsi="仿宋_GB2312" w:eastAsia="仿宋_GB2312" w:cs="仿宋_GB2312"/>
          <w:sz w:val="32"/>
          <w:szCs w:val="32"/>
          <w:lang w:eastAsia="zh-CN"/>
        </w:rPr>
        <w:t>。</w:t>
      </w:r>
    </w:p>
    <w:p w14:paraId="39C7018F">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5、完成消防年度检测</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w:t>
      </w:r>
    </w:p>
    <w:p w14:paraId="64438C81">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6.协助</w:t>
      </w:r>
      <w:r>
        <w:rPr>
          <w:rFonts w:hint="eastAsia" w:ascii="仿宋_GB2312" w:hAnsi="仿宋_GB2312" w:eastAsia="仿宋_GB2312" w:cs="仿宋_GB2312"/>
          <w:sz w:val="32"/>
          <w:szCs w:val="32"/>
        </w:rPr>
        <w:t>学校</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消防安全台账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消防安全培训、消防安全演练等工作</w:t>
      </w:r>
      <w:r>
        <w:rPr>
          <w:rFonts w:hint="eastAsia" w:ascii="仿宋_GB2312" w:hAnsi="仿宋_GB2312" w:eastAsia="仿宋_GB2312" w:cs="仿宋_GB2312"/>
          <w:sz w:val="32"/>
          <w:szCs w:val="32"/>
          <w:lang w:eastAsia="zh-CN"/>
        </w:rPr>
        <w:t>。</w:t>
      </w:r>
    </w:p>
    <w:p w14:paraId="14468914">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7.完成</w:t>
      </w:r>
      <w:r>
        <w:rPr>
          <w:rFonts w:hint="eastAsia" w:ascii="仿宋_GB2312" w:hAnsi="仿宋_GB2312" w:eastAsia="仿宋_GB2312" w:cs="仿宋_GB2312"/>
          <w:sz w:val="32"/>
          <w:szCs w:val="32"/>
        </w:rPr>
        <w:t>消防安全年度评估</w:t>
      </w:r>
      <w:r>
        <w:rPr>
          <w:rFonts w:hint="eastAsia" w:ascii="仿宋_GB2312" w:hAnsi="仿宋_GB2312" w:eastAsia="仿宋_GB2312" w:cs="仿宋_GB2312"/>
          <w:sz w:val="32"/>
          <w:szCs w:val="32"/>
          <w:lang w:val="en-US" w:eastAsia="zh-CN"/>
        </w:rPr>
        <w:t>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ab/>
      </w:r>
    </w:p>
    <w:p w14:paraId="5C4549B1">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其他商务要求：参与维保施工人员必须</w:t>
      </w:r>
      <w:r>
        <w:rPr>
          <w:rFonts w:hint="eastAsia" w:ascii="仿宋_GB2312" w:hAnsi="仿宋_GB2312" w:eastAsia="仿宋_GB2312" w:cs="仿宋_GB2312"/>
          <w:sz w:val="32"/>
          <w:szCs w:val="32"/>
          <w:lang w:val="en-US" w:eastAsia="zh-CN"/>
        </w:rPr>
        <w:t>具备消防设施操作员（消防设施维护保养检测）准入类</w:t>
      </w:r>
      <w:r>
        <w:rPr>
          <w:rFonts w:hint="eastAsia" w:ascii="仿宋_GB2312" w:hAnsi="仿宋_GB2312" w:eastAsia="仿宋_GB2312" w:cs="仿宋_GB2312"/>
          <w:sz w:val="32"/>
          <w:szCs w:val="32"/>
        </w:rPr>
        <w:t>证书</w:t>
      </w:r>
      <w:r>
        <w:rPr>
          <w:rFonts w:hint="eastAsia" w:ascii="仿宋_GB2312" w:hAnsi="仿宋_GB2312" w:eastAsia="仿宋_GB2312" w:cs="仿宋_GB2312"/>
          <w:sz w:val="32"/>
          <w:szCs w:val="32"/>
          <w:lang w:val="en-US" w:eastAsia="zh-CN"/>
        </w:rPr>
        <w:t>中级及以上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配备技术负责人、项目负责人各一名进行专项监管及技术支持，该人员需具备一级注册消防工程师资质。</w:t>
      </w:r>
      <w:r>
        <w:rPr>
          <w:rFonts w:hint="eastAsia" w:ascii="仿宋_GB2312" w:hAnsi="仿宋_GB2312" w:eastAsia="仿宋_GB2312" w:cs="仿宋_GB2312"/>
          <w:sz w:val="32"/>
          <w:szCs w:val="32"/>
        </w:rPr>
        <w:t>每周</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三、五</w:t>
      </w:r>
      <w:r>
        <w:rPr>
          <w:rFonts w:hint="eastAsia" w:ascii="仿宋_GB2312" w:hAnsi="仿宋_GB2312" w:eastAsia="仿宋_GB2312" w:cs="仿宋_GB2312"/>
          <w:sz w:val="32"/>
          <w:szCs w:val="32"/>
        </w:rPr>
        <w:t>的8：30-16:30在校开展消防设施维保工作，其余时间需保证通讯畅通，确保发生故障后</w:t>
      </w:r>
      <w:r>
        <w:rPr>
          <w:rFonts w:hint="eastAsia" w:ascii="仿宋_GB2312" w:hAnsi="仿宋_GB2312" w:eastAsia="仿宋_GB2312" w:cs="仿宋_GB2312"/>
          <w:sz w:val="32"/>
          <w:szCs w:val="32"/>
          <w:lang w:val="en-US" w:eastAsia="zh-CN"/>
        </w:rPr>
        <w:t>及时修复</w:t>
      </w:r>
      <w:r>
        <w:rPr>
          <w:rFonts w:hint="eastAsia" w:ascii="仿宋_GB2312" w:hAnsi="仿宋_GB2312" w:eastAsia="仿宋_GB2312" w:cs="仿宋_GB2312"/>
          <w:sz w:val="32"/>
          <w:szCs w:val="32"/>
        </w:rPr>
        <w:t>。</w:t>
      </w:r>
    </w:p>
    <w:p w14:paraId="798712C5">
      <w:pPr>
        <w:keepNext w:val="0"/>
        <w:keepLines w:val="0"/>
        <w:pageBreakBefore w:val="0"/>
        <w:kinsoku/>
        <w:wordWrap/>
        <w:topLinePunct w:val="0"/>
        <w:bidi w:val="0"/>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黑体" w:hAnsi="黑体" w:eastAsia="黑体" w:cs="黑体"/>
          <w:b/>
          <w:bCs/>
          <w:sz w:val="32"/>
          <w:szCs w:val="32"/>
          <w:lang w:val="en-US" w:eastAsia="zh-CN"/>
        </w:rPr>
        <w:t>四、</w:t>
      </w:r>
      <w:r>
        <w:rPr>
          <w:rFonts w:hint="eastAsia" w:ascii="黑体" w:hAnsi="黑体" w:eastAsia="黑体" w:cs="黑体"/>
          <w:b/>
          <w:bCs/>
          <w:sz w:val="32"/>
          <w:szCs w:val="32"/>
        </w:rPr>
        <w:t>注意事项</w:t>
      </w:r>
    </w:p>
    <w:p w14:paraId="611198BD">
      <w:pPr>
        <w:keepNext w:val="0"/>
        <w:keepLines w:val="0"/>
        <w:pageBreakBefore w:val="0"/>
        <w:widowControl/>
        <w:kinsoku/>
        <w:wordWrap/>
        <w:topLinePunct w:val="0"/>
        <w:bidi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1、供应商资格要求：</w:t>
      </w:r>
    </w:p>
    <w:p w14:paraId="0C73BA3F">
      <w:pPr>
        <w:keepNext w:val="0"/>
        <w:keepLines w:val="0"/>
        <w:pageBreakBefore w:val="0"/>
        <w:widowControl/>
        <w:kinsoku/>
        <w:wordWrap/>
        <w:topLinePunct w:val="0"/>
        <w:bidi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符合《政府采购法》要求，并且投标公司必须具有独立法人资格、具备相应产品经营资质、具有独立承担民事责任能力的专业机构，具有履行合同所必需的设备和专业技术能力。</w:t>
      </w:r>
    </w:p>
    <w:p w14:paraId="51FEDDD0">
      <w:pPr>
        <w:keepNext w:val="0"/>
        <w:keepLines w:val="0"/>
        <w:pageBreakBefore w:val="0"/>
        <w:widowControl/>
        <w:kinsoku/>
        <w:wordWrap/>
        <w:topLinePunct w:val="0"/>
        <w:bidi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2、询价总金额不</w:t>
      </w:r>
      <w:r>
        <w:rPr>
          <w:rFonts w:hint="eastAsia" w:ascii="仿宋_GB2312" w:hAnsi="仿宋_GB2312" w:eastAsia="仿宋_GB2312" w:cs="仿宋_GB2312"/>
          <w:kern w:val="0"/>
          <w:sz w:val="32"/>
          <w:szCs w:val="32"/>
          <w:lang w:val="en-US" w:eastAsia="zh-CN"/>
        </w:rPr>
        <w:t>得</w:t>
      </w:r>
      <w:r>
        <w:rPr>
          <w:rFonts w:hint="eastAsia" w:ascii="仿宋_GB2312" w:hAnsi="仿宋_GB2312" w:eastAsia="仿宋_GB2312" w:cs="仿宋_GB2312"/>
          <w:kern w:val="0"/>
          <w:sz w:val="32"/>
          <w:szCs w:val="32"/>
        </w:rPr>
        <w:t>超过</w:t>
      </w:r>
      <w:r>
        <w:rPr>
          <w:rFonts w:hint="eastAsia" w:ascii="仿宋_GB2312" w:hAnsi="仿宋_GB2312" w:eastAsia="仿宋_GB2312" w:cs="仿宋_GB2312"/>
          <w:kern w:val="0"/>
          <w:sz w:val="32"/>
          <w:szCs w:val="32"/>
          <w:lang w:val="en-US" w:eastAsia="zh-CN"/>
        </w:rPr>
        <w:t>人民币</w:t>
      </w:r>
      <w:r>
        <w:rPr>
          <w:rFonts w:hint="eastAsia" w:ascii="仿宋_GB2312" w:hAnsi="仿宋_GB2312" w:eastAsia="仿宋_GB2312" w:cs="仿宋_GB2312"/>
          <w:b/>
          <w:bCs/>
          <w:kern w:val="0"/>
          <w:sz w:val="32"/>
          <w:szCs w:val="32"/>
        </w:rPr>
        <w:t>1</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万</w:t>
      </w:r>
      <w:r>
        <w:rPr>
          <w:rFonts w:hint="eastAsia" w:ascii="仿宋_GB2312" w:hAnsi="仿宋_GB2312" w:eastAsia="仿宋_GB2312" w:cs="仿宋_GB2312"/>
          <w:b/>
          <w:bCs/>
          <w:kern w:val="0"/>
          <w:sz w:val="32"/>
          <w:szCs w:val="32"/>
          <w:lang w:val="en-US" w:eastAsia="zh-CN"/>
        </w:rPr>
        <w:t>元每年</w:t>
      </w:r>
      <w:r>
        <w:rPr>
          <w:rFonts w:hint="eastAsia" w:ascii="仿宋_GB2312" w:hAnsi="仿宋_GB2312" w:eastAsia="仿宋_GB2312" w:cs="仿宋_GB2312"/>
          <w:kern w:val="0"/>
          <w:sz w:val="32"/>
          <w:szCs w:val="32"/>
          <w:lang w:val="en-US" w:eastAsia="zh-CN"/>
        </w:rPr>
        <w:t>，合同服务期为贰年（2025年10月1日至2027年9月30日），维保金按照季度支付；每月考核，考核合格后支付维保金</w:t>
      </w:r>
      <w:r>
        <w:rPr>
          <w:rFonts w:hint="eastAsia" w:ascii="仿宋_GB2312" w:hAnsi="仿宋_GB2312" w:eastAsia="仿宋_GB2312" w:cs="仿宋_GB2312"/>
          <w:kern w:val="0"/>
          <w:sz w:val="32"/>
          <w:szCs w:val="32"/>
        </w:rPr>
        <w:t>。</w:t>
      </w:r>
    </w:p>
    <w:p w14:paraId="76470141">
      <w:pPr>
        <w:keepNext w:val="0"/>
        <w:keepLines w:val="0"/>
        <w:pageBreakBefore w:val="0"/>
        <w:widowControl/>
        <w:kinsoku/>
        <w:wordWrap/>
        <w:topLinePunct w:val="0"/>
        <w:bidi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3、询价投标文件的组成（须按以下顺序装订，分别加盖公章后</w:t>
      </w:r>
      <w:r>
        <w:rPr>
          <w:rFonts w:hint="eastAsia" w:ascii="仿宋_GB2312" w:hAnsi="仿宋_GB2312" w:eastAsia="仿宋_GB2312" w:cs="仿宋_GB2312"/>
          <w:b/>
          <w:kern w:val="0"/>
          <w:sz w:val="32"/>
          <w:szCs w:val="32"/>
          <w:u w:val="single"/>
        </w:rPr>
        <w:t>妥善密封</w:t>
      </w:r>
      <w:r>
        <w:rPr>
          <w:rFonts w:hint="eastAsia" w:ascii="仿宋_GB2312" w:hAnsi="仿宋_GB2312" w:eastAsia="仿宋_GB2312" w:cs="仿宋_GB2312"/>
          <w:kern w:val="0"/>
          <w:sz w:val="32"/>
          <w:szCs w:val="32"/>
        </w:rPr>
        <w:t>。资料提供不全或未密封可能会导致无效标）。供应商需提供材料：</w:t>
      </w:r>
    </w:p>
    <w:p w14:paraId="6AE7FD2A">
      <w:pPr>
        <w:keepNext w:val="0"/>
        <w:keepLines w:val="0"/>
        <w:pageBreakBefore w:val="0"/>
        <w:widowControl/>
        <w:kinsoku/>
        <w:wordWrap/>
        <w:topLinePunct w:val="0"/>
        <w:bidi w:val="0"/>
        <w:snapToGrid/>
        <w:spacing w:line="560" w:lineRule="exact"/>
        <w:ind w:firstLine="320" w:firstLineChars="1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（1）维保总报价一览表</w:t>
      </w:r>
    </w:p>
    <w:p w14:paraId="1DFBCEBD">
      <w:pPr>
        <w:keepNext w:val="0"/>
        <w:keepLines w:val="0"/>
        <w:pageBreakBefore w:val="0"/>
        <w:widowControl/>
        <w:kinsoku/>
        <w:wordWrap/>
        <w:topLinePunct w:val="0"/>
        <w:bidi w:val="0"/>
        <w:snapToGrid/>
        <w:spacing w:line="560" w:lineRule="exact"/>
        <w:ind w:firstLine="320" w:firstLineChars="1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（2）营业执照复印件</w:t>
      </w:r>
    </w:p>
    <w:p w14:paraId="143818DF">
      <w:pPr>
        <w:keepNext w:val="0"/>
        <w:keepLines w:val="0"/>
        <w:pageBreakBefore w:val="0"/>
        <w:widowControl/>
        <w:kinsoku/>
        <w:wordWrap/>
        <w:topLinePunct w:val="0"/>
        <w:bidi w:val="0"/>
        <w:snapToGrid/>
        <w:spacing w:line="560" w:lineRule="exact"/>
        <w:ind w:firstLine="320" w:firstLineChars="1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法定代表人授权委托书</w:t>
      </w:r>
    </w:p>
    <w:p w14:paraId="5ECCD6D5">
      <w:pPr>
        <w:keepNext w:val="0"/>
        <w:keepLines w:val="0"/>
        <w:pageBreakBefore w:val="0"/>
        <w:widowControl/>
        <w:numPr>
          <w:ilvl w:val="0"/>
          <w:numId w:val="0"/>
        </w:numPr>
        <w:kinsoku/>
        <w:wordWrap/>
        <w:topLinePunct w:val="0"/>
        <w:bidi w:val="0"/>
        <w:snapToGrid/>
        <w:spacing w:line="560" w:lineRule="exact"/>
        <w:ind w:firstLine="320" w:firstLineChars="1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无重大违法记录承诺函</w:t>
      </w:r>
    </w:p>
    <w:p w14:paraId="77F42FAA">
      <w:pPr>
        <w:keepNext w:val="0"/>
        <w:keepLines w:val="0"/>
        <w:pageBreakBefore w:val="0"/>
        <w:widowControl/>
        <w:kinsoku/>
        <w:wordWrap/>
        <w:topLinePunct w:val="0"/>
        <w:bidi w:val="0"/>
        <w:snapToGrid/>
        <w:spacing w:line="560" w:lineRule="exact"/>
        <w:ind w:firstLine="320" w:firstLineChars="1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填报常用配件品牌型号价格表</w:t>
      </w:r>
    </w:p>
    <w:p w14:paraId="1F083F4D">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 xml:space="preserve">  （6）项目设想与策划、消防维保检测、项目组织管理方案、消防培训和演练、配置人员培训奖惩方案、进退场方案等工作</w:t>
      </w:r>
    </w:p>
    <w:p w14:paraId="29CFE4A8">
      <w:pPr>
        <w:keepNext w:val="0"/>
        <w:keepLines w:val="0"/>
        <w:pageBreakBefore w:val="0"/>
        <w:widowControl/>
        <w:kinsoku/>
        <w:wordWrap/>
        <w:topLinePunct w:val="0"/>
        <w:bidi w:val="0"/>
        <w:snapToGrid/>
        <w:spacing w:line="560" w:lineRule="exact"/>
        <w:ind w:firstLine="320" w:firstLineChars="100"/>
        <w:jc w:val="left"/>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响应供应商认为有必要提供的其他资料</w:t>
      </w:r>
    </w:p>
    <w:p w14:paraId="2CF9E722">
      <w:pPr>
        <w:keepNext w:val="0"/>
        <w:keepLines w:val="0"/>
        <w:pageBreakBefore w:val="0"/>
        <w:kinsoku/>
        <w:wordWrap/>
        <w:topLinePunct w:val="0"/>
        <w:bidi w:val="0"/>
        <w:snapToGri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b/>
          <w:bCs/>
          <w:kern w:val="0"/>
          <w:sz w:val="32"/>
          <w:szCs w:val="32"/>
        </w:rPr>
        <w:t>乙方派驻甲方的维保工作人员需经过甲方组织的面试，面试者与派驻者必须为同一人。</w:t>
      </w:r>
      <w:r>
        <w:rPr>
          <w:rFonts w:hint="eastAsia" w:ascii="仿宋_GB2312" w:hAnsi="仿宋_GB2312" w:eastAsia="仿宋_GB2312" w:cs="仿宋_GB2312"/>
          <w:kern w:val="0"/>
          <w:sz w:val="32"/>
          <w:szCs w:val="32"/>
        </w:rPr>
        <w:t>具体</w:t>
      </w:r>
      <w:r>
        <w:rPr>
          <w:rFonts w:hint="eastAsia" w:ascii="仿宋_GB2312" w:hAnsi="仿宋_GB2312" w:eastAsia="仿宋_GB2312" w:cs="仿宋_GB2312"/>
          <w:b w:val="0"/>
          <w:bCs w:val="0"/>
          <w:kern w:val="0"/>
          <w:sz w:val="32"/>
          <w:szCs w:val="32"/>
        </w:rPr>
        <w:t>面试时间</w:t>
      </w:r>
      <w:r>
        <w:rPr>
          <w:rFonts w:hint="eastAsia" w:ascii="仿宋_GB2312" w:hAnsi="仿宋_GB2312" w:eastAsia="仿宋_GB2312" w:cs="仿宋_GB2312"/>
          <w:b w:val="0"/>
          <w:bCs w:val="0"/>
          <w:kern w:val="0"/>
          <w:sz w:val="32"/>
          <w:szCs w:val="32"/>
          <w:lang w:val="en-US" w:eastAsia="zh-CN"/>
        </w:rPr>
        <w:t>和要求</w:t>
      </w:r>
      <w:r>
        <w:rPr>
          <w:rFonts w:hint="eastAsia" w:ascii="仿宋_GB2312" w:hAnsi="仿宋_GB2312" w:eastAsia="仿宋_GB2312" w:cs="仿宋_GB2312"/>
          <w:b w:val="0"/>
          <w:bCs w:val="0"/>
          <w:kern w:val="0"/>
          <w:sz w:val="32"/>
          <w:szCs w:val="32"/>
        </w:rPr>
        <w:t>等甲方另行通知。通过甲方面试且</w:t>
      </w:r>
      <w:r>
        <w:rPr>
          <w:rFonts w:hint="eastAsia" w:ascii="仿宋_GB2312" w:hAnsi="仿宋_GB2312" w:eastAsia="仿宋_GB2312" w:cs="仿宋_GB2312"/>
          <w:b w:val="0"/>
          <w:bCs w:val="0"/>
          <w:kern w:val="0"/>
          <w:sz w:val="32"/>
          <w:szCs w:val="32"/>
          <w:lang w:val="en-US" w:eastAsia="zh-CN"/>
        </w:rPr>
        <w:t>综合</w:t>
      </w:r>
      <w:r>
        <w:rPr>
          <w:rFonts w:hint="eastAsia" w:ascii="仿宋_GB2312" w:hAnsi="仿宋_GB2312" w:eastAsia="仿宋_GB2312" w:cs="仿宋_GB2312"/>
          <w:b w:val="0"/>
          <w:bCs w:val="0"/>
          <w:kern w:val="0"/>
          <w:sz w:val="32"/>
          <w:szCs w:val="32"/>
        </w:rPr>
        <w:t>得分最高的</w:t>
      </w:r>
      <w:r>
        <w:rPr>
          <w:rFonts w:hint="eastAsia" w:ascii="仿宋_GB2312" w:hAnsi="仿宋_GB2312" w:eastAsia="仿宋_GB2312" w:cs="仿宋_GB2312"/>
          <w:b w:val="0"/>
          <w:bCs w:val="0"/>
          <w:kern w:val="0"/>
          <w:sz w:val="32"/>
          <w:szCs w:val="32"/>
          <w:lang w:val="en-US" w:eastAsia="zh-CN"/>
        </w:rPr>
        <w:t>单位</w:t>
      </w:r>
      <w:r>
        <w:rPr>
          <w:rFonts w:hint="eastAsia" w:ascii="仿宋_GB2312" w:hAnsi="仿宋_GB2312" w:eastAsia="仿宋_GB2312" w:cs="仿宋_GB2312"/>
          <w:b w:val="0"/>
          <w:bCs w:val="0"/>
          <w:kern w:val="0"/>
          <w:sz w:val="32"/>
          <w:szCs w:val="32"/>
        </w:rPr>
        <w:t>为中标单位。</w:t>
      </w:r>
    </w:p>
    <w:p w14:paraId="38818A90">
      <w:pPr>
        <w:keepNext w:val="0"/>
        <w:keepLines w:val="0"/>
        <w:pageBreakBefore w:val="0"/>
        <w:widowControl/>
        <w:kinsoku/>
        <w:wordWrap/>
        <w:topLinePunct w:val="0"/>
        <w:bidi w:val="0"/>
        <w:snapToGri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5、询价方式及成交：投标</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应在</w:t>
      </w:r>
      <w:r>
        <w:rPr>
          <w:rFonts w:hint="eastAsia" w:ascii="仿宋_GB2312" w:hAnsi="仿宋_GB2312" w:eastAsia="仿宋_GB2312" w:cs="仿宋_GB2312"/>
          <w:b/>
          <w:color w:val="FF0000"/>
          <w:kern w:val="0"/>
          <w:sz w:val="32"/>
          <w:szCs w:val="32"/>
          <w:u w:val="single"/>
          <w:lang w:val="en-US" w:eastAsia="zh-CN"/>
        </w:rPr>
        <w:t>2025年7月30日前</w:t>
      </w:r>
      <w:r>
        <w:rPr>
          <w:rFonts w:hint="eastAsia" w:ascii="仿宋_GB2312" w:hAnsi="仿宋_GB2312" w:eastAsia="仿宋_GB2312" w:cs="仿宋_GB2312"/>
          <w:kern w:val="0"/>
          <w:sz w:val="32"/>
          <w:szCs w:val="32"/>
        </w:rPr>
        <w:t>将询价投标文件送至学校</w:t>
      </w:r>
      <w:r>
        <w:rPr>
          <w:rFonts w:hint="eastAsia" w:ascii="仿宋_GB2312" w:hAnsi="仿宋_GB2312" w:eastAsia="仿宋_GB2312" w:cs="仿宋_GB2312"/>
          <w:kern w:val="0"/>
          <w:sz w:val="32"/>
          <w:szCs w:val="32"/>
          <w:lang w:val="en-US" w:eastAsia="zh-CN"/>
        </w:rPr>
        <w:t>资产管理处</w:t>
      </w:r>
      <w:r>
        <w:rPr>
          <w:rFonts w:hint="eastAsia" w:ascii="仿宋_GB2312" w:hAnsi="仿宋_GB2312" w:eastAsia="仿宋_GB2312" w:cs="仿宋_GB2312"/>
          <w:kern w:val="0"/>
          <w:sz w:val="32"/>
          <w:szCs w:val="32"/>
        </w:rPr>
        <w:t>，</w:t>
      </w:r>
      <w:r>
        <w:rPr>
          <w:rFonts w:hint="eastAsia" w:ascii="仿宋_GB2312" w:hAnsi="仿宋_GB2312" w:eastAsia="仿宋_GB2312" w:cs="仿宋_GB2312"/>
          <w:b/>
          <w:bCs/>
          <w:sz w:val="32"/>
          <w:szCs w:val="32"/>
        </w:rPr>
        <w:t>学校</w:t>
      </w:r>
      <w:r>
        <w:rPr>
          <w:rFonts w:hint="eastAsia" w:ascii="仿宋_GB2312" w:hAnsi="仿宋_GB2312" w:eastAsia="仿宋_GB2312" w:cs="仿宋_GB2312"/>
          <w:b/>
          <w:bCs/>
          <w:sz w:val="32"/>
          <w:szCs w:val="32"/>
          <w:lang w:val="en-US" w:eastAsia="zh-CN"/>
        </w:rPr>
        <w:t>再</w:t>
      </w:r>
      <w:r>
        <w:rPr>
          <w:rFonts w:hint="eastAsia" w:ascii="仿宋_GB2312" w:hAnsi="仿宋_GB2312" w:eastAsia="仿宋_GB2312" w:cs="仿宋_GB2312"/>
          <w:b/>
          <w:bCs/>
          <w:sz w:val="32"/>
          <w:szCs w:val="32"/>
        </w:rPr>
        <w:t>组织统一开标</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成交报价综合</w:t>
      </w:r>
      <w:r>
        <w:rPr>
          <w:rFonts w:hint="eastAsia" w:ascii="仿宋_GB2312" w:hAnsi="仿宋_GB2312" w:eastAsia="仿宋_GB2312" w:cs="仿宋_GB2312"/>
          <w:kern w:val="0"/>
          <w:sz w:val="32"/>
          <w:szCs w:val="32"/>
        </w:rPr>
        <w:t>满分为100分=</w:t>
      </w:r>
      <w:r>
        <w:rPr>
          <w:rFonts w:hint="eastAsia" w:ascii="仿宋_GB2312" w:hAnsi="仿宋_GB2312" w:eastAsia="仿宋_GB2312" w:cs="仿宋_GB2312"/>
          <w:kern w:val="0"/>
          <w:sz w:val="32"/>
          <w:szCs w:val="32"/>
          <w:lang w:val="en-US" w:eastAsia="zh-CN"/>
        </w:rPr>
        <w:t>投标文件响应程度</w:t>
      </w:r>
      <w:r>
        <w:rPr>
          <w:rFonts w:hint="eastAsia" w:ascii="仿宋_GB2312" w:hAnsi="仿宋_GB2312" w:eastAsia="仿宋_GB2312" w:cs="仿宋_GB2312"/>
          <w:kern w:val="0"/>
          <w:sz w:val="32"/>
          <w:szCs w:val="32"/>
        </w:rPr>
        <w:t>占</w:t>
      </w:r>
      <w:r>
        <w:rPr>
          <w:rFonts w:hint="eastAsia" w:ascii="仿宋_GB2312" w:hAnsi="仿宋_GB2312" w:eastAsia="仿宋_GB2312" w:cs="仿宋_GB2312"/>
          <w:kern w:val="0"/>
          <w:sz w:val="32"/>
          <w:szCs w:val="32"/>
          <w:lang w:val="en-US" w:eastAsia="zh-CN"/>
        </w:rPr>
        <w:t>50</w:t>
      </w:r>
      <w:r>
        <w:rPr>
          <w:rFonts w:hint="eastAsia" w:ascii="仿宋_GB2312" w:hAnsi="仿宋_GB2312" w:eastAsia="仿宋_GB2312" w:cs="仿宋_GB2312"/>
          <w:kern w:val="0"/>
          <w:sz w:val="32"/>
          <w:szCs w:val="32"/>
        </w:rPr>
        <w:t>%+维保总报价占</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0%+</w:t>
      </w:r>
      <w:r>
        <w:rPr>
          <w:rFonts w:hint="eastAsia" w:ascii="仿宋_GB2312" w:hAnsi="仿宋_GB2312" w:eastAsia="仿宋_GB2312" w:cs="仿宋_GB2312"/>
          <w:kern w:val="0"/>
          <w:sz w:val="32"/>
          <w:szCs w:val="32"/>
          <w:lang w:val="en-US" w:eastAsia="zh-CN"/>
        </w:rPr>
        <w:t>面试人员成绩</w:t>
      </w:r>
      <w:r>
        <w:rPr>
          <w:rFonts w:hint="eastAsia" w:ascii="仿宋_GB2312" w:hAnsi="仿宋_GB2312" w:eastAsia="仿宋_GB2312" w:cs="仿宋_GB2312"/>
          <w:kern w:val="0"/>
          <w:sz w:val="32"/>
          <w:szCs w:val="32"/>
        </w:rPr>
        <w:t>占</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0%+常用配件报价占</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0%，得分最高者为成交商。中标单位确定后，由我校电话通知。</w:t>
      </w:r>
      <w:r>
        <w:rPr>
          <w:rFonts w:hint="eastAsia" w:ascii="仿宋_GB2312" w:hAnsi="仿宋_GB2312" w:eastAsia="仿宋_GB2312" w:cs="仿宋_GB2312"/>
          <w:b/>
          <w:kern w:val="0"/>
          <w:sz w:val="32"/>
          <w:szCs w:val="32"/>
        </w:rPr>
        <w:t>投标文件送至：浙江省杭州市滨江区滨文路518号 浙江艺术职业学院</w:t>
      </w:r>
      <w:r>
        <w:rPr>
          <w:rFonts w:hint="eastAsia" w:ascii="仿宋_GB2312" w:hAnsi="仿宋_GB2312" w:eastAsia="仿宋_GB2312" w:cs="仿宋_GB2312"/>
          <w:b/>
          <w:kern w:val="0"/>
          <w:sz w:val="32"/>
          <w:szCs w:val="32"/>
          <w:lang w:val="en-US" w:eastAsia="zh-CN"/>
        </w:rPr>
        <w:t xml:space="preserve">资产管理处  行政楼1110室 </w:t>
      </w:r>
      <w:r>
        <w:rPr>
          <w:rFonts w:hint="eastAsia" w:ascii="仿宋_GB2312" w:hAnsi="仿宋_GB2312" w:eastAsia="仿宋_GB2312" w:cs="仿宋_GB2312"/>
          <w:b/>
          <w:kern w:val="0"/>
          <w:sz w:val="32"/>
          <w:szCs w:val="32"/>
        </w:rPr>
        <w:t xml:space="preserve"> </w:t>
      </w:r>
      <w:r>
        <w:rPr>
          <w:rFonts w:hint="eastAsia" w:ascii="仿宋_GB2312" w:hAnsi="仿宋_GB2312" w:eastAsia="仿宋_GB2312" w:cs="仿宋_GB2312"/>
          <w:b/>
          <w:kern w:val="0"/>
          <w:sz w:val="32"/>
          <w:szCs w:val="32"/>
          <w:lang w:val="en-US" w:eastAsia="zh-CN"/>
        </w:rPr>
        <w:t>鲁</w:t>
      </w:r>
      <w:r>
        <w:rPr>
          <w:rFonts w:hint="eastAsia" w:ascii="仿宋_GB2312" w:hAnsi="仿宋_GB2312" w:eastAsia="仿宋_GB2312" w:cs="仿宋_GB2312"/>
          <w:b/>
          <w:kern w:val="0"/>
          <w:sz w:val="32"/>
          <w:szCs w:val="32"/>
        </w:rPr>
        <w:t>老师0571-871500</w:t>
      </w:r>
      <w:r>
        <w:rPr>
          <w:rFonts w:hint="eastAsia" w:ascii="仿宋_GB2312" w:hAnsi="仿宋_GB2312" w:eastAsia="仿宋_GB2312" w:cs="仿宋_GB2312"/>
          <w:b/>
          <w:kern w:val="0"/>
          <w:sz w:val="32"/>
          <w:szCs w:val="32"/>
          <w:lang w:val="en-US" w:eastAsia="zh-CN"/>
        </w:rPr>
        <w:t>82</w:t>
      </w:r>
      <w:r>
        <w:rPr>
          <w:rFonts w:hint="eastAsia" w:ascii="仿宋_GB2312" w:hAnsi="仿宋_GB2312" w:eastAsia="仿宋_GB2312" w:cs="仿宋_GB2312"/>
          <w:kern w:val="0"/>
          <w:sz w:val="32"/>
          <w:szCs w:val="32"/>
        </w:rPr>
        <w:t>。</w:t>
      </w:r>
    </w:p>
    <w:p w14:paraId="7EFD9431">
      <w:pPr>
        <w:keepNext w:val="0"/>
        <w:keepLines w:val="0"/>
        <w:pageBreakBefore w:val="0"/>
        <w:kinsoku/>
        <w:wordWrap/>
        <w:topLinePunct w:val="0"/>
        <w:bidi w:val="0"/>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6、如对本次询价有疑问，可电话进行联系，联系人：</w:t>
      </w:r>
      <w:r>
        <w:rPr>
          <w:rFonts w:hint="eastAsia" w:ascii="仿宋_GB2312" w:hAnsi="仿宋_GB2312" w:eastAsia="仿宋_GB2312" w:cs="仿宋_GB2312"/>
          <w:kern w:val="0"/>
          <w:sz w:val="32"/>
          <w:szCs w:val="32"/>
          <w:lang w:val="en-US" w:eastAsia="zh-CN"/>
        </w:rPr>
        <w:t>徐</w:t>
      </w:r>
      <w:r>
        <w:rPr>
          <w:rFonts w:hint="eastAsia" w:ascii="仿宋_GB2312" w:hAnsi="仿宋_GB2312" w:eastAsia="仿宋_GB2312" w:cs="仿宋_GB2312"/>
          <w:kern w:val="0"/>
          <w:sz w:val="32"/>
          <w:szCs w:val="32"/>
        </w:rPr>
        <w:t>老师 电话：0571-87150077。</w:t>
      </w:r>
    </w:p>
    <w:p w14:paraId="7221C606">
      <w:pPr>
        <w:keepNext w:val="0"/>
        <w:keepLines w:val="0"/>
        <w:pageBreakBefore w:val="0"/>
        <w:kinsoku/>
        <w:wordWrap/>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7、报价单请务必注明详细规格型号、联系人及电话并加盖公章；同时请在信封上分别注明供应商名称、联系人及电话，以上项目不得缺项。型号停产更改务必请报价前联系。 </w:t>
      </w:r>
    </w:p>
    <w:p w14:paraId="500B7AD1">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黑体" w:hAnsi="黑体" w:eastAsia="黑体" w:cs="黑体"/>
          <w:b/>
          <w:bCs/>
          <w:sz w:val="32"/>
          <w:szCs w:val="32"/>
          <w:lang w:val="en-US" w:eastAsia="zh-CN"/>
        </w:rPr>
        <w:t>五、询价评审细则</w:t>
      </w:r>
    </w:p>
    <w:p w14:paraId="45403C85">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根据合同相关要求，项目采用综合评分法（总分100分）=</w:t>
      </w:r>
      <w:r>
        <w:rPr>
          <w:rFonts w:hint="eastAsia" w:ascii="仿宋_GB2312" w:hAnsi="仿宋_GB2312" w:eastAsia="仿宋_GB2312" w:cs="仿宋_GB2312"/>
          <w:kern w:val="0"/>
          <w:sz w:val="32"/>
          <w:szCs w:val="32"/>
          <w:lang w:val="en-US" w:eastAsia="zh-CN"/>
        </w:rPr>
        <w:t>投标文件响应程度</w:t>
      </w:r>
      <w:r>
        <w:rPr>
          <w:rFonts w:hint="eastAsia" w:ascii="仿宋_GB2312" w:hAnsi="仿宋_GB2312" w:eastAsia="仿宋_GB2312" w:cs="仿宋_GB2312"/>
          <w:kern w:val="0"/>
          <w:sz w:val="32"/>
          <w:szCs w:val="32"/>
        </w:rPr>
        <w:t>占</w:t>
      </w:r>
      <w:r>
        <w:rPr>
          <w:rFonts w:hint="eastAsia" w:ascii="仿宋_GB2312" w:hAnsi="仿宋_GB2312" w:eastAsia="仿宋_GB2312" w:cs="仿宋_GB2312"/>
          <w:kern w:val="0"/>
          <w:sz w:val="32"/>
          <w:szCs w:val="32"/>
          <w:lang w:val="en-US" w:eastAsia="zh-CN"/>
        </w:rPr>
        <w:t>50</w:t>
      </w:r>
      <w:r>
        <w:rPr>
          <w:rFonts w:hint="eastAsia" w:ascii="仿宋_GB2312" w:hAnsi="仿宋_GB2312" w:eastAsia="仿宋_GB2312" w:cs="仿宋_GB2312"/>
          <w:kern w:val="0"/>
          <w:sz w:val="32"/>
          <w:szCs w:val="32"/>
        </w:rPr>
        <w:t>%+维保总报价占</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0%+</w:t>
      </w:r>
      <w:r>
        <w:rPr>
          <w:rFonts w:hint="eastAsia" w:ascii="仿宋_GB2312" w:hAnsi="仿宋_GB2312" w:eastAsia="仿宋_GB2312" w:cs="仿宋_GB2312"/>
          <w:kern w:val="0"/>
          <w:sz w:val="32"/>
          <w:szCs w:val="32"/>
          <w:lang w:val="en-US" w:eastAsia="zh-CN"/>
        </w:rPr>
        <w:t>面试人员成绩</w:t>
      </w:r>
      <w:r>
        <w:rPr>
          <w:rFonts w:hint="eastAsia" w:ascii="仿宋_GB2312" w:hAnsi="仿宋_GB2312" w:eastAsia="仿宋_GB2312" w:cs="仿宋_GB2312"/>
          <w:kern w:val="0"/>
          <w:sz w:val="32"/>
          <w:szCs w:val="32"/>
        </w:rPr>
        <w:t>占</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0%+常用配件报价占</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0%</w:t>
      </w:r>
      <w:r>
        <w:rPr>
          <w:rFonts w:hint="eastAsia" w:ascii="仿宋_GB2312" w:hAnsi="仿宋_GB2312" w:eastAsia="仿宋_GB2312" w:cs="仿宋_GB2312"/>
          <w:sz w:val="32"/>
          <w:szCs w:val="32"/>
          <w:lang w:val="en-US" w:eastAsia="zh-CN"/>
        </w:rPr>
        <w:t>。对各供应商的投标文件响应程度、维保总报价、面试人员成绩、常用配件报价等评分因素在分值范围内进行评分。每个供应商最终得分=投标文件响应程度+维保总报价+面试人员成绩+常用配件报价等内容分。</w:t>
      </w:r>
    </w:p>
    <w:p w14:paraId="6EF97E9C">
      <w:pPr>
        <w:keepNext w:val="0"/>
        <w:keepLines w:val="0"/>
        <w:pageBreakBefore w:val="0"/>
        <w:numPr>
          <w:ilvl w:val="0"/>
          <w:numId w:val="3"/>
        </w:numPr>
        <w:kinsoku/>
        <w:wordWrap/>
        <w:topLinePunct w:val="0"/>
        <w:bidi w:val="0"/>
        <w:snapToGrid/>
        <w:spacing w:line="560" w:lineRule="exact"/>
        <w:ind w:firstLine="42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投标文件响应（50分）</w:t>
      </w:r>
    </w:p>
    <w:p w14:paraId="7D2B8CD9">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1.投标人资质比较：5分</w:t>
      </w:r>
    </w:p>
    <w:p w14:paraId="0DA58E65">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公司必须具有独立法人资格、具备相应产品经营资质、具有独立承担民事责任能力的专业机构，具有履行合同所必需的设备和专业技术能力。营业执照复印件，法定代表人授权委托书，无重大违法记录承诺函。</w:t>
      </w:r>
      <w:r>
        <w:rPr>
          <w:rFonts w:hint="eastAsia" w:ascii="仿宋_GB2312" w:hAnsi="仿宋_GB2312" w:eastAsia="仿宋_GB2312" w:cs="仿宋_GB2312"/>
          <w:kern w:val="0"/>
          <w:sz w:val="32"/>
          <w:szCs w:val="32"/>
        </w:rPr>
        <w:t>供应商认为有必要提供的其他资料</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lang w:val="en-US" w:eastAsia="zh-CN"/>
        </w:rPr>
        <w:t>提供齐全得5分，提供不全得0分。</w:t>
      </w:r>
    </w:p>
    <w:p w14:paraId="643DAFE4">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2.整体设想与策划：5分</w:t>
      </w:r>
    </w:p>
    <w:p w14:paraId="6525D20D">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针对本项目特点和需求进行对项目的定位、服务理念、管理思路及重点难点进行分析比较。</w:t>
      </w:r>
    </w:p>
    <w:p w14:paraId="1B983BFE">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方案的合理性、完善性、规范性、清晰性、可操作性较好的得5分；方案合理性、完善性、规范性、清晰性、可操作性一般的得3分；方案合理性、完善性、规范性、清晰性、可操作性有缺项的得1分；无相关内容得0分。</w:t>
      </w:r>
    </w:p>
    <w:p w14:paraId="27491D8D">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3.维保和突击抢修等设施方案:10分</w:t>
      </w:r>
    </w:p>
    <w:p w14:paraId="1F7F46FE">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实施服务内容及措施比较：方案的合理性、完善性、规范性、清晰性、可操作性较好的得10分；方案合理性、完善性、规范性、清晰性、可操作性一般的得7分；方案合理性、完善性、规范性、清晰性、可操作性有缺项的得4分；无相关内容得0分。</w:t>
      </w:r>
    </w:p>
    <w:p w14:paraId="3E71571F">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4.项目组织管理方案:5分</w:t>
      </w:r>
    </w:p>
    <w:p w14:paraId="3CA72724">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管理组织架构合理，管理制度比较：包含项目配置的维保人员数量和资质，单位管理规章制度等比较。</w:t>
      </w:r>
    </w:p>
    <w:p w14:paraId="11305184">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方案的合理性、完善性、规范性、清晰性、可操作性较好的得5分；方案合理性、完善性、规范性、清晰性、可操作性一般的得3分；方案合理性、完善性、规范性、清晰性、可操作性有缺项的得1分；无相关内容得0分。</w:t>
      </w:r>
    </w:p>
    <w:p w14:paraId="5F6183A2">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5.消防安全培训、演练方案：10分</w:t>
      </w:r>
    </w:p>
    <w:p w14:paraId="06740145">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方案的合理性、完善性、规范性、清晰性、可操作性较好的得10分；方案合理性、完善性、规范性、清晰性、可操作性一般的得7分；方案合理性、完善性、规范性、清晰性、可操作性有缺项的得4分；无相关内容得0分。</w:t>
      </w:r>
    </w:p>
    <w:p w14:paraId="2E0BA404">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6.内部培训、考核及奖惩，该项满分为：5分</w:t>
      </w:r>
    </w:p>
    <w:p w14:paraId="6DE759D7">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配置人员的培训、考核及奖惩方案的针对性、完善性、规范性、清晰性、可操作性进行打分。方案设置合理、完善、规范、清晰、针对性及可操作性强的得5分；方案针对性、可操作性一般的得3分；方案针对性、可操作性较差的得1分；无相关内容得0分。</w:t>
      </w:r>
    </w:p>
    <w:p w14:paraId="346ABAB2">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7.进退场交接及配合校方的方案比较：5分</w:t>
      </w:r>
    </w:p>
    <w:p w14:paraId="4A5F5C80">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方案的合理性、完善性、规范性、清晰性、可操作性较好的得5分；方案合理性、完善性、规范性、清晰性、可操作性一般的得3分；方案合理性、完善性、规范性、清晰性、可操作性有缺项的得1分；无相关内容得0分。</w:t>
      </w:r>
    </w:p>
    <w:p w14:paraId="7253A079">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8.同类项目服务经验比较：5分</w:t>
      </w:r>
    </w:p>
    <w:p w14:paraId="309271EA">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2023年1月1日至今全省高校消防维保服务项目合同业绩，每提供一份合同复印件得1分，最高5分。投标文件中提供合同首页、金额页、盖章页及上述有效性评判时所需的关键页的复印件。</w:t>
      </w:r>
    </w:p>
    <w:p w14:paraId="082817C2">
      <w:pPr>
        <w:keepNext w:val="0"/>
        <w:keepLines w:val="0"/>
        <w:pageBreakBefore w:val="0"/>
        <w:numPr>
          <w:ilvl w:val="0"/>
          <w:numId w:val="0"/>
        </w:numPr>
        <w:kinsoku/>
        <w:wordWrap/>
        <w:topLinePunct w:val="0"/>
        <w:bidi w:val="0"/>
        <w:snapToGrid/>
        <w:spacing w:line="560" w:lineRule="exact"/>
        <w:ind w:firstLine="321" w:firstLineChars="1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（二）维保人员面试考核：20分</w:t>
      </w:r>
    </w:p>
    <w:p w14:paraId="307FBB37">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维保人员面试考核内容包括应知应会考试（建筑消防设施的维护管理GB25201-2010,火灾自动报警系统设计规范GB50116-2013，消防设施通用规范GB55036-2022），考试成绩最高分为100分，最低为0分。面试考核得分=考试成绩×20%</w:t>
      </w:r>
    </w:p>
    <w:p w14:paraId="16BEB994">
      <w:pPr>
        <w:keepNext w:val="0"/>
        <w:keepLines w:val="0"/>
        <w:pageBreakBefore w:val="0"/>
        <w:numPr>
          <w:ilvl w:val="0"/>
          <w:numId w:val="0"/>
        </w:numPr>
        <w:kinsoku/>
        <w:wordWrap/>
        <w:topLinePunct w:val="0"/>
        <w:bidi w:val="0"/>
        <w:snapToGrid/>
        <w:spacing w:line="560" w:lineRule="exact"/>
        <w:textAlignment w:val="auto"/>
        <w:rPr>
          <w:rFonts w:hint="default" w:ascii="仿宋_GB2312" w:hAnsi="仿宋_GB2312" w:eastAsia="仿宋_GB2312" w:cs="仿宋_GB2312"/>
          <w:sz w:val="32"/>
          <w:szCs w:val="32"/>
          <w:lang w:val="en-US" w:eastAsia="zh-CN"/>
        </w:rPr>
      </w:pPr>
    </w:p>
    <w:p w14:paraId="1FA7F246">
      <w:pPr>
        <w:keepNext w:val="0"/>
        <w:keepLines w:val="0"/>
        <w:pageBreakBefore w:val="0"/>
        <w:kinsoku/>
        <w:wordWrap/>
        <w:topLinePunct w:val="0"/>
        <w:bidi w:val="0"/>
        <w:snapToGrid/>
        <w:spacing w:line="560" w:lineRule="exact"/>
        <w:ind w:firstLine="42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bCs/>
          <w:sz w:val="32"/>
          <w:szCs w:val="32"/>
          <w:lang w:val="en-US" w:eastAsia="zh-CN"/>
        </w:rPr>
        <w:t>（三）常用配件报价（10分）</w:t>
      </w:r>
    </w:p>
    <w:p w14:paraId="790821EC">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常用配件报价评分在20个配件内进行，最高得10分，最低的0分。统计各供应商报价，以每个常用配件价格平均价格为基准价，单个配件价格低于基准价得0.5分，等于或高于基准价不得分。</w:t>
      </w:r>
    </w:p>
    <w:p w14:paraId="143EB830">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p>
    <w:p w14:paraId="1231286A">
      <w:pPr>
        <w:spacing w:line="40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常用配件品牌型号价格表</w:t>
      </w:r>
    </w:p>
    <w:p w14:paraId="1CC219A7">
      <w:pPr>
        <w:spacing w:line="400" w:lineRule="exact"/>
        <w:rPr>
          <w:rFonts w:hint="eastAsia" w:ascii="仿宋_GB2312" w:hAnsi="仿宋_GB2312" w:eastAsia="仿宋_GB2312" w:cs="仿宋_GB2312"/>
          <w:b/>
          <w:bCs/>
          <w:sz w:val="32"/>
          <w:szCs w:val="32"/>
        </w:rPr>
      </w:pPr>
    </w:p>
    <w:tbl>
      <w:tblPr>
        <w:tblStyle w:val="10"/>
        <w:tblW w:w="921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2621"/>
        <w:gridCol w:w="1326"/>
        <w:gridCol w:w="919"/>
        <w:gridCol w:w="1450"/>
        <w:gridCol w:w="2051"/>
      </w:tblGrid>
      <w:tr w14:paraId="4F04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14:paraId="0A26CA3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2621" w:type="dxa"/>
            <w:tcBorders>
              <w:top w:val="single" w:color="auto" w:sz="4" w:space="0"/>
              <w:left w:val="single" w:color="auto" w:sz="4" w:space="0"/>
              <w:bottom w:val="single" w:color="auto" w:sz="4" w:space="0"/>
              <w:right w:val="single" w:color="auto" w:sz="4" w:space="0"/>
            </w:tcBorders>
            <w:noWrap w:val="0"/>
            <w:vAlign w:val="center"/>
          </w:tcPr>
          <w:p w14:paraId="27BB7A8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配件名称</w:t>
            </w:r>
          </w:p>
        </w:tc>
        <w:tc>
          <w:tcPr>
            <w:tcW w:w="1326" w:type="dxa"/>
            <w:tcBorders>
              <w:top w:val="single" w:color="auto" w:sz="4" w:space="0"/>
              <w:left w:val="single" w:color="auto" w:sz="4" w:space="0"/>
              <w:bottom w:val="single" w:color="auto" w:sz="4" w:space="0"/>
              <w:right w:val="single" w:color="auto" w:sz="4" w:space="0"/>
            </w:tcBorders>
            <w:noWrap w:val="0"/>
            <w:vAlign w:val="center"/>
          </w:tcPr>
          <w:p w14:paraId="5AF23C5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数量</w:t>
            </w:r>
          </w:p>
        </w:tc>
        <w:tc>
          <w:tcPr>
            <w:tcW w:w="919" w:type="dxa"/>
            <w:tcBorders>
              <w:top w:val="single" w:color="auto" w:sz="4" w:space="0"/>
              <w:left w:val="single" w:color="auto" w:sz="4" w:space="0"/>
              <w:bottom w:val="single" w:color="auto" w:sz="4" w:space="0"/>
              <w:right w:val="single" w:color="auto" w:sz="4" w:space="0"/>
            </w:tcBorders>
            <w:noWrap w:val="0"/>
            <w:vAlign w:val="center"/>
          </w:tcPr>
          <w:p w14:paraId="50F7FFE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EADA90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单价（元）</w:t>
            </w:r>
          </w:p>
        </w:tc>
        <w:tc>
          <w:tcPr>
            <w:tcW w:w="2051" w:type="dxa"/>
            <w:tcBorders>
              <w:top w:val="single" w:color="auto" w:sz="4" w:space="0"/>
              <w:left w:val="single" w:color="auto" w:sz="4" w:space="0"/>
              <w:bottom w:val="single" w:color="auto" w:sz="4" w:space="0"/>
              <w:right w:val="single" w:color="auto" w:sz="4" w:space="0"/>
            </w:tcBorders>
            <w:noWrap w:val="0"/>
            <w:vAlign w:val="center"/>
          </w:tcPr>
          <w:p w14:paraId="5B409E7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备注（品牌）</w:t>
            </w:r>
          </w:p>
        </w:tc>
      </w:tr>
      <w:tr w14:paraId="3BF26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14:paraId="080B3AE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2621" w:type="dxa"/>
            <w:tcBorders>
              <w:top w:val="single" w:color="auto" w:sz="4" w:space="0"/>
              <w:left w:val="single" w:color="auto" w:sz="4" w:space="0"/>
              <w:bottom w:val="single" w:color="auto" w:sz="4" w:space="0"/>
              <w:right w:val="single" w:color="auto" w:sz="4" w:space="0"/>
            </w:tcBorders>
            <w:noWrap w:val="0"/>
            <w:vAlign w:val="center"/>
          </w:tcPr>
          <w:p w14:paraId="64F472C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感烟火灾探测器</w:t>
            </w:r>
          </w:p>
        </w:tc>
        <w:tc>
          <w:tcPr>
            <w:tcW w:w="1326" w:type="dxa"/>
            <w:tcBorders>
              <w:top w:val="single" w:color="auto" w:sz="4" w:space="0"/>
              <w:left w:val="single" w:color="auto" w:sz="4" w:space="0"/>
              <w:bottom w:val="single" w:color="auto" w:sz="4" w:space="0"/>
              <w:right w:val="single" w:color="auto" w:sz="4" w:space="0"/>
            </w:tcBorders>
            <w:noWrap w:val="0"/>
            <w:vAlign w:val="center"/>
          </w:tcPr>
          <w:p w14:paraId="19E93BF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noWrap w:val="0"/>
            <w:vAlign w:val="center"/>
          </w:tcPr>
          <w:p w14:paraId="71EC3F7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只</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BBDB11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p>
        </w:tc>
        <w:tc>
          <w:tcPr>
            <w:tcW w:w="2051" w:type="dxa"/>
            <w:tcBorders>
              <w:top w:val="single" w:color="auto" w:sz="4" w:space="0"/>
              <w:left w:val="single" w:color="auto" w:sz="4" w:space="0"/>
              <w:bottom w:val="single" w:color="auto" w:sz="4" w:space="0"/>
              <w:right w:val="single" w:color="auto" w:sz="4" w:space="0"/>
            </w:tcBorders>
            <w:noWrap w:val="0"/>
            <w:vAlign w:val="center"/>
          </w:tcPr>
          <w:p w14:paraId="1815AB6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3281F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14:paraId="40DE43C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2621" w:type="dxa"/>
            <w:tcBorders>
              <w:top w:val="single" w:color="auto" w:sz="4" w:space="0"/>
              <w:left w:val="single" w:color="auto" w:sz="4" w:space="0"/>
              <w:bottom w:val="single" w:color="auto" w:sz="4" w:space="0"/>
              <w:right w:val="single" w:color="auto" w:sz="4" w:space="0"/>
            </w:tcBorders>
            <w:noWrap w:val="0"/>
            <w:vAlign w:val="center"/>
          </w:tcPr>
          <w:p w14:paraId="43E2E53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感温火灾探测器</w:t>
            </w:r>
          </w:p>
        </w:tc>
        <w:tc>
          <w:tcPr>
            <w:tcW w:w="1326" w:type="dxa"/>
            <w:tcBorders>
              <w:top w:val="single" w:color="auto" w:sz="4" w:space="0"/>
              <w:left w:val="single" w:color="auto" w:sz="4" w:space="0"/>
              <w:bottom w:val="single" w:color="auto" w:sz="4" w:space="0"/>
              <w:right w:val="single" w:color="auto" w:sz="4" w:space="0"/>
            </w:tcBorders>
            <w:noWrap w:val="0"/>
            <w:vAlign w:val="center"/>
          </w:tcPr>
          <w:p w14:paraId="78BE5E5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noWrap w:val="0"/>
            <w:vAlign w:val="center"/>
          </w:tcPr>
          <w:p w14:paraId="55D6ABD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只</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6F454DF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p>
        </w:tc>
        <w:tc>
          <w:tcPr>
            <w:tcW w:w="2051" w:type="dxa"/>
            <w:tcBorders>
              <w:top w:val="single" w:color="auto" w:sz="4" w:space="0"/>
              <w:left w:val="single" w:color="auto" w:sz="4" w:space="0"/>
              <w:bottom w:val="single" w:color="auto" w:sz="4" w:space="0"/>
              <w:right w:val="single" w:color="auto" w:sz="4" w:space="0"/>
            </w:tcBorders>
            <w:noWrap w:val="0"/>
            <w:vAlign w:val="center"/>
          </w:tcPr>
          <w:p w14:paraId="3DE21AB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0FC75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14:paraId="169E467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3</w:t>
            </w:r>
          </w:p>
        </w:tc>
        <w:tc>
          <w:tcPr>
            <w:tcW w:w="2621" w:type="dxa"/>
            <w:tcBorders>
              <w:top w:val="single" w:color="auto" w:sz="4" w:space="0"/>
              <w:left w:val="single" w:color="auto" w:sz="4" w:space="0"/>
              <w:bottom w:val="single" w:color="auto" w:sz="4" w:space="0"/>
              <w:right w:val="single" w:color="auto" w:sz="4" w:space="0"/>
            </w:tcBorders>
            <w:noWrap w:val="0"/>
            <w:vAlign w:val="center"/>
          </w:tcPr>
          <w:p w14:paraId="13298A5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手动报警按钮</w:t>
            </w:r>
          </w:p>
        </w:tc>
        <w:tc>
          <w:tcPr>
            <w:tcW w:w="1326" w:type="dxa"/>
            <w:tcBorders>
              <w:top w:val="single" w:color="auto" w:sz="4" w:space="0"/>
              <w:left w:val="single" w:color="auto" w:sz="4" w:space="0"/>
              <w:bottom w:val="single" w:color="auto" w:sz="4" w:space="0"/>
              <w:right w:val="single" w:color="auto" w:sz="4" w:space="0"/>
            </w:tcBorders>
            <w:noWrap w:val="0"/>
            <w:vAlign w:val="center"/>
          </w:tcPr>
          <w:p w14:paraId="27DB479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noWrap w:val="0"/>
            <w:vAlign w:val="center"/>
          </w:tcPr>
          <w:p w14:paraId="4FB1FCF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只</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023BC42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rPr>
            </w:pPr>
          </w:p>
        </w:tc>
        <w:tc>
          <w:tcPr>
            <w:tcW w:w="2051" w:type="dxa"/>
            <w:tcBorders>
              <w:top w:val="single" w:color="auto" w:sz="4" w:space="0"/>
              <w:left w:val="single" w:color="auto" w:sz="4" w:space="0"/>
              <w:bottom w:val="single" w:color="auto" w:sz="4" w:space="0"/>
              <w:right w:val="single" w:color="auto" w:sz="4" w:space="0"/>
            </w:tcBorders>
            <w:noWrap w:val="0"/>
            <w:vAlign w:val="center"/>
          </w:tcPr>
          <w:p w14:paraId="1640F59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3E7C1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43356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4</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2FB85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疏散指示标志</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C34FF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A6311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eastAsia="zh-CN"/>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D8490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4D602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456C5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05E34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5</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C7106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防火门闭门器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219CD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D4D9C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eastAsia="zh-CN"/>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ACB9A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EEE89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坚朗、国威、欧宝</w:t>
            </w:r>
          </w:p>
        </w:tc>
      </w:tr>
      <w:tr w14:paraId="7E632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8E636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6</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04C29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防火门顺位器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60A34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C039E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eastAsia="zh-CN"/>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5F340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D229A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坚朗、国威、欧宝</w:t>
            </w:r>
          </w:p>
        </w:tc>
      </w:tr>
      <w:tr w14:paraId="06A86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CBA94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7</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0C515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声光报警器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DC6B6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B8B5B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C28AA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E23AD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2E0C2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FEC06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8</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D8BB7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集中工作电源蓄电池</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759A3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738CC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节</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AE058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E04FB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12V/24AH</w:t>
            </w:r>
          </w:p>
        </w:tc>
      </w:tr>
      <w:tr w14:paraId="3C5C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7F0D0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9</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AB70F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回路板</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DC689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882B9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块</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1384B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5E028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59C91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3CE01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10</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B4628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楼层显示器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A109E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FC574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F4313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55F2A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5ACD3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C548C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11</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5B93C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系统集成控制板</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C6744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F2D58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块</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05DCD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ADBCD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6002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68439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2</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A5513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显示驱动板</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92920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E1BA6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块</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88D77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C470A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5B95B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80456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13</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402B4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主机主板</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BF63E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594EF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块</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0F3EB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B0040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21D62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7C811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14</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8E6EE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集中控制器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EB574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F8653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台</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5D202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3F6C7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55156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3AD9B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15</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2F25D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总线隔离器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F5D1F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B6B6B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69B5B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6EDE0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0B99E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480EF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6</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DC0DE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切换模块</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4530C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EC87D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661F5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13022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5EE8E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D911A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17</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C5EED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终端模块</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C8616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BC24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702D3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88C39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328F2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84F1B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18</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5FCEE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编码声光报警器</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58CC3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E0762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E77BF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D5B05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29B8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5086A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19</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4DAAE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编码消防广播模块</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ECC42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3A386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B3342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BE162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r w14:paraId="412B7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FC663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20</w:t>
            </w:r>
          </w:p>
        </w:tc>
        <w:tc>
          <w:tcPr>
            <w:tcW w:w="262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EB401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编码消火栓按钮</w:t>
            </w:r>
          </w:p>
        </w:tc>
        <w:tc>
          <w:tcPr>
            <w:tcW w:w="13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A360B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1</w:t>
            </w:r>
          </w:p>
        </w:tc>
        <w:tc>
          <w:tcPr>
            <w:tcW w:w="9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D23EB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个</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9B524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p>
        </w:tc>
        <w:tc>
          <w:tcPr>
            <w:tcW w:w="2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7E9EC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rPr>
              <w:t>松江、海湾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依爱</w:t>
            </w:r>
          </w:p>
        </w:tc>
      </w:tr>
    </w:tbl>
    <w:p w14:paraId="1EBF8DE6">
      <w:pPr>
        <w:spacing w:line="400" w:lineRule="exact"/>
        <w:rPr>
          <w:rFonts w:hint="eastAsia" w:ascii="仿宋_GB2312" w:hAnsi="仿宋_GB2312" w:eastAsia="仿宋_GB2312" w:cs="仿宋_GB2312"/>
          <w:b/>
          <w:bCs/>
          <w:sz w:val="32"/>
          <w:szCs w:val="32"/>
        </w:rPr>
      </w:pPr>
    </w:p>
    <w:p w14:paraId="17110BFB">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（四）维保总价格部分（20分）</w:t>
      </w:r>
    </w:p>
    <w:p w14:paraId="36E80D31">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价格评分将在有效响应文件范围内进行，最高得20分，最低得0分。满足需求内容且最终报价最低的供应商的价格为基准价，其价格分为满分。其他供应商的价格分统一按照下列公式计算：</w:t>
      </w:r>
    </w:p>
    <w:p w14:paraId="3EAD08BD">
      <w:pPr>
        <w:keepNext w:val="0"/>
        <w:keepLines w:val="0"/>
        <w:pageBreakBefore w:val="0"/>
        <w:kinsoku/>
        <w:wordWrap/>
        <w:topLinePunct w:val="0"/>
        <w:bidi w:val="0"/>
        <w:snapToGrid/>
        <w:spacing w:line="560" w:lineRule="exact"/>
        <w:ind w:firstLine="4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投标报价得分=(基准价／最终报价)×100×20%</w:t>
      </w:r>
    </w:p>
    <w:p w14:paraId="02323AD9">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181EAF8B">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2182422A">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39BA5954">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5311D7B4">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2476FB9A">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1B77C13D">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77BB3F50">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312710BE">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7BF27EBE">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p w14:paraId="4268810D">
      <w:pPr>
        <w:widowControl/>
        <w:spacing w:line="360" w:lineRule="auto"/>
        <w:jc w:val="left"/>
        <w:rPr>
          <w:rFonts w:hint="eastAsia"/>
          <w:b/>
          <w:bCs/>
        </w:rPr>
      </w:pPr>
    </w:p>
    <w:p w14:paraId="5D2AF734">
      <w:pPr>
        <w:widowControl/>
        <w:spacing w:line="360" w:lineRule="auto"/>
        <w:jc w:val="left"/>
        <w:rPr>
          <w:rFonts w:hint="eastAsia" w:eastAsiaTheme="minorEastAsia"/>
          <w:b/>
          <w:bCs/>
          <w:lang w:eastAsia="zh-CN"/>
        </w:rPr>
      </w:pPr>
      <w:bookmarkStart w:id="0" w:name="_GoBack"/>
      <w:bookmarkEnd w:id="0"/>
      <w:r>
        <w:rPr>
          <w:rFonts w:hint="eastAsia"/>
          <w:b/>
          <w:bCs/>
        </w:rPr>
        <w:t>附件</w:t>
      </w:r>
      <w:r>
        <w:rPr>
          <w:rFonts w:hint="eastAsia"/>
          <w:b/>
          <w:bCs/>
          <w:lang w:val="en-US" w:eastAsia="zh-CN"/>
        </w:rPr>
        <w:t>1</w:t>
      </w:r>
    </w:p>
    <w:p w14:paraId="2F24891A">
      <w:pPr>
        <w:widowControl/>
        <w:overflowPunct w:val="0"/>
        <w:autoSpaceDE w:val="0"/>
        <w:autoSpaceDN w:val="0"/>
        <w:adjustRightInd w:val="0"/>
        <w:spacing w:after="312" w:afterLines="100" w:line="360" w:lineRule="auto"/>
        <w:jc w:val="center"/>
        <w:rPr>
          <w:rFonts w:ascii="仿宋_GB2312" w:hAnsi="Courier New" w:eastAsia="仿宋_GB2312"/>
          <w:color w:val="000000"/>
          <w:kern w:val="0"/>
          <w:sz w:val="36"/>
        </w:rPr>
      </w:pPr>
      <w:r>
        <w:rPr>
          <w:rFonts w:hint="eastAsia" w:ascii="仿宋_GB2312" w:hAnsi="Courier New" w:eastAsia="仿宋_GB2312"/>
          <w:b/>
          <w:color w:val="000000"/>
          <w:kern w:val="0"/>
          <w:sz w:val="36"/>
        </w:rPr>
        <w:t>维保服务费报价一览表</w:t>
      </w:r>
    </w:p>
    <w:tbl>
      <w:tblPr>
        <w:tblStyle w:val="10"/>
        <w:tblW w:w="48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6804"/>
      </w:tblGrid>
      <w:tr w14:paraId="207EA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exact"/>
        </w:trPr>
        <w:tc>
          <w:tcPr>
            <w:tcW w:w="845" w:type="pct"/>
            <w:tcBorders>
              <w:top w:val="single" w:color="auto" w:sz="4" w:space="0"/>
              <w:left w:val="single" w:color="auto" w:sz="4" w:space="0"/>
              <w:bottom w:val="single" w:color="auto" w:sz="4" w:space="0"/>
              <w:right w:val="single" w:color="auto" w:sz="4" w:space="0"/>
            </w:tcBorders>
            <w:noWrap w:val="0"/>
            <w:vAlign w:val="center"/>
          </w:tcPr>
          <w:p w14:paraId="5F6FC63B">
            <w:pPr>
              <w:spacing w:after="156" w:afterLines="50"/>
              <w:jc w:val="center"/>
              <w:rPr>
                <w:rFonts w:ascii="仿宋" w:hAnsi="仿宋" w:eastAsia="仿宋" w:cs="仿宋"/>
                <w:kern w:val="0"/>
                <w:sz w:val="24"/>
                <w:szCs w:val="24"/>
              </w:rPr>
            </w:pPr>
            <w:r>
              <w:rPr>
                <w:rFonts w:hint="eastAsia" w:ascii="仿宋" w:hAnsi="仿宋" w:eastAsia="仿宋" w:cs="仿宋"/>
                <w:kern w:val="0"/>
                <w:sz w:val="24"/>
                <w:szCs w:val="24"/>
              </w:rPr>
              <w:t>服务类型</w:t>
            </w:r>
          </w:p>
        </w:tc>
        <w:tc>
          <w:tcPr>
            <w:tcW w:w="4155" w:type="pct"/>
            <w:tcBorders>
              <w:top w:val="single" w:color="auto" w:sz="4" w:space="0"/>
              <w:left w:val="single" w:color="auto" w:sz="4" w:space="0"/>
              <w:bottom w:val="single" w:color="auto" w:sz="4" w:space="0"/>
              <w:right w:val="single" w:color="auto" w:sz="4" w:space="0"/>
            </w:tcBorders>
            <w:noWrap w:val="0"/>
            <w:vAlign w:val="top"/>
          </w:tcPr>
          <w:p w14:paraId="2A77A925">
            <w:pPr>
              <w:jc w:val="center"/>
              <w:rPr>
                <w:rFonts w:hint="eastAsia" w:ascii="仿宋" w:hAnsi="仿宋" w:eastAsia="仿宋" w:cs="仿宋"/>
                <w:kern w:val="0"/>
                <w:sz w:val="24"/>
                <w:szCs w:val="24"/>
              </w:rPr>
            </w:pPr>
            <w:r>
              <w:rPr>
                <w:rFonts w:hint="eastAsia" w:ascii="仿宋" w:hAnsi="仿宋" w:eastAsia="仿宋" w:cs="仿宋"/>
                <w:kern w:val="0"/>
                <w:sz w:val="24"/>
                <w:szCs w:val="24"/>
              </w:rPr>
              <w:t xml:space="preserve"> </w:t>
            </w:r>
          </w:p>
          <w:p w14:paraId="66F0B070">
            <w:pPr>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消防设备</w:t>
            </w:r>
            <w:r>
              <w:rPr>
                <w:rFonts w:hint="eastAsia" w:ascii="仿宋" w:hAnsi="仿宋" w:eastAsia="仿宋" w:cs="仿宋"/>
                <w:kern w:val="0"/>
                <w:sz w:val="24"/>
                <w:szCs w:val="24"/>
              </w:rPr>
              <w:t xml:space="preserve">维保服务（不含配件费）                </w:t>
            </w:r>
          </w:p>
          <w:p w14:paraId="5D63D953">
            <w:pPr>
              <w:jc w:val="center"/>
              <w:rPr>
                <w:rFonts w:ascii="仿宋" w:hAnsi="仿宋" w:eastAsia="仿宋" w:cs="仿宋"/>
                <w:kern w:val="0"/>
                <w:sz w:val="24"/>
                <w:szCs w:val="24"/>
              </w:rPr>
            </w:pPr>
            <w:r>
              <w:rPr>
                <w:rFonts w:hint="eastAsia" w:ascii="仿宋" w:hAnsi="仿宋" w:eastAsia="仿宋" w:cs="仿宋"/>
                <w:kern w:val="0"/>
                <w:sz w:val="24"/>
                <w:szCs w:val="24"/>
              </w:rPr>
              <w:t xml:space="preserve"> （浙江艺术职业学院本部及东冠校区）</w:t>
            </w:r>
          </w:p>
        </w:tc>
      </w:tr>
      <w:tr w14:paraId="3190A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exact"/>
        </w:trPr>
        <w:tc>
          <w:tcPr>
            <w:tcW w:w="845" w:type="pct"/>
            <w:tcBorders>
              <w:top w:val="single" w:color="auto" w:sz="4" w:space="0"/>
              <w:left w:val="single" w:color="auto" w:sz="4" w:space="0"/>
              <w:bottom w:val="single" w:color="auto" w:sz="4" w:space="0"/>
              <w:right w:val="single" w:color="auto" w:sz="4" w:space="0"/>
            </w:tcBorders>
            <w:noWrap w:val="0"/>
            <w:vAlign w:val="center"/>
          </w:tcPr>
          <w:p w14:paraId="10625F9C">
            <w:pPr>
              <w:jc w:val="center"/>
              <w:rPr>
                <w:rFonts w:ascii="仿宋" w:hAnsi="仿宋" w:eastAsia="仿宋" w:cs="仿宋"/>
                <w:kern w:val="0"/>
                <w:sz w:val="24"/>
                <w:szCs w:val="24"/>
              </w:rPr>
            </w:pPr>
            <w:r>
              <w:rPr>
                <w:rFonts w:hint="eastAsia" w:ascii="仿宋" w:hAnsi="仿宋" w:eastAsia="仿宋" w:cs="仿宋"/>
                <w:kern w:val="0"/>
                <w:sz w:val="24"/>
                <w:szCs w:val="24"/>
              </w:rPr>
              <w:t>综合报价（元）</w:t>
            </w:r>
          </w:p>
        </w:tc>
        <w:tc>
          <w:tcPr>
            <w:tcW w:w="4155" w:type="pct"/>
            <w:tcBorders>
              <w:top w:val="single" w:color="auto" w:sz="4" w:space="0"/>
              <w:left w:val="single" w:color="auto" w:sz="4" w:space="0"/>
              <w:bottom w:val="single" w:color="auto" w:sz="4" w:space="0"/>
              <w:right w:val="single" w:color="auto" w:sz="4" w:space="0"/>
            </w:tcBorders>
            <w:noWrap w:val="0"/>
            <w:vAlign w:val="center"/>
          </w:tcPr>
          <w:p w14:paraId="501E49F8">
            <w:pPr>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xx万元每年</w:t>
            </w:r>
          </w:p>
        </w:tc>
      </w:tr>
    </w:tbl>
    <w:p w14:paraId="0A4B5484">
      <w:pPr>
        <w:spacing w:line="360" w:lineRule="auto"/>
        <w:rPr>
          <w:rFonts w:hint="eastAsia" w:ascii="仿宋_GB2312" w:eastAsia="仿宋_GB2312"/>
          <w:color w:val="000000"/>
          <w:u w:val="single"/>
        </w:rPr>
      </w:pPr>
      <w:r>
        <w:rPr>
          <w:rFonts w:hint="eastAsia" w:ascii="仿宋_GB2312" w:eastAsia="仿宋_GB2312"/>
          <w:color w:val="000000"/>
        </w:rPr>
        <w:t xml:space="preserve">响应方名称（盖章）： </w:t>
      </w:r>
      <w:r>
        <w:rPr>
          <w:rFonts w:hint="eastAsia" w:ascii="仿宋_GB2312" w:eastAsia="仿宋_GB2312"/>
          <w:color w:val="000000"/>
          <w:u w:val="single"/>
        </w:rPr>
        <w:t xml:space="preserve">                       </w:t>
      </w:r>
      <w:r>
        <w:rPr>
          <w:rFonts w:hint="eastAsia" w:ascii="仿宋_GB2312" w:eastAsia="仿宋_GB2312"/>
          <w:color w:val="000000"/>
        </w:rPr>
        <w:t xml:space="preserve">  日  期: </w:t>
      </w:r>
      <w:r>
        <w:rPr>
          <w:rFonts w:hint="eastAsia" w:ascii="仿宋_GB2312" w:eastAsia="仿宋_GB2312"/>
          <w:color w:val="000000"/>
          <w:u w:val="single"/>
        </w:rPr>
        <w:t xml:space="preserve">                        </w:t>
      </w:r>
    </w:p>
    <w:p w14:paraId="0593F736">
      <w:pPr>
        <w:spacing w:line="360" w:lineRule="auto"/>
        <w:rPr>
          <w:rFonts w:hint="eastAsia" w:ascii="仿宋_GB2312" w:eastAsia="仿宋_GB2312"/>
          <w:color w:val="000000"/>
          <w:u w:val="single"/>
        </w:rPr>
      </w:pPr>
      <w:r>
        <w:rPr>
          <w:rFonts w:hint="eastAsia" w:ascii="仿宋_GB2312" w:eastAsia="仿宋_GB2312"/>
          <w:color w:val="000000"/>
        </w:rPr>
        <w:t xml:space="preserve">响应方代表签名： </w:t>
      </w:r>
      <w:r>
        <w:rPr>
          <w:rFonts w:hint="eastAsia" w:ascii="仿宋_GB2312" w:eastAsia="仿宋_GB2312"/>
          <w:color w:val="000000"/>
          <w:u w:val="single"/>
        </w:rPr>
        <w:t xml:space="preserve">                          </w:t>
      </w:r>
      <w:r>
        <w:rPr>
          <w:rFonts w:hint="eastAsia" w:ascii="仿宋_GB2312" w:eastAsia="仿宋_GB2312"/>
          <w:color w:val="000000"/>
        </w:rPr>
        <w:t xml:space="preserve">  电  话：</w:t>
      </w:r>
      <w:r>
        <w:rPr>
          <w:rFonts w:hint="eastAsia" w:ascii="仿宋_GB2312" w:eastAsia="仿宋_GB2312"/>
          <w:color w:val="000000"/>
          <w:u w:val="single"/>
        </w:rPr>
        <w:t xml:space="preserve">                        </w:t>
      </w:r>
    </w:p>
    <w:p w14:paraId="1C39A9E7">
      <w:pPr>
        <w:widowControl/>
        <w:overflowPunct w:val="0"/>
        <w:autoSpaceDE w:val="0"/>
        <w:autoSpaceDN w:val="0"/>
        <w:adjustRightInd w:val="0"/>
        <w:spacing w:line="360" w:lineRule="auto"/>
        <w:jc w:val="left"/>
        <w:rPr>
          <w:rFonts w:hint="eastAsia" w:ascii="仿宋_GB2312" w:hAnsi="Courier New" w:eastAsia="仿宋_GB2312"/>
          <w:b/>
          <w:color w:val="000000"/>
          <w:kern w:val="0"/>
        </w:rPr>
      </w:pPr>
      <w:r>
        <w:rPr>
          <w:rFonts w:hint="eastAsia" w:ascii="仿宋_GB2312" w:hAnsi="Courier New" w:eastAsia="仿宋_GB2312"/>
          <w:b/>
          <w:color w:val="000000"/>
          <w:kern w:val="0"/>
        </w:rPr>
        <w:t>备注：</w:t>
      </w:r>
    </w:p>
    <w:p w14:paraId="3AF4887F">
      <w:pPr>
        <w:spacing w:line="360" w:lineRule="auto"/>
        <w:ind w:firstLine="420"/>
        <w:rPr>
          <w:rFonts w:hint="eastAsia" w:ascii="仿宋_GB2312" w:hAnsi="宋体" w:eastAsia="仿宋_GB2312"/>
          <w:color w:val="000000"/>
        </w:rPr>
      </w:pPr>
      <w:r>
        <w:rPr>
          <w:rFonts w:hint="eastAsia" w:ascii="仿宋_GB2312" w:eastAsia="仿宋_GB2312"/>
          <w:color w:val="000000"/>
        </w:rPr>
        <w:t>1、</w:t>
      </w:r>
      <w:r>
        <w:rPr>
          <w:rFonts w:hint="eastAsia" w:ascii="仿宋_GB2312" w:hAnsi="宋体" w:eastAsia="仿宋_GB2312"/>
          <w:color w:val="000000"/>
        </w:rPr>
        <w:t>本报价为响应方所能承受的一次性最低、最终报价，以人民币为结算币种，包括税金等所有费用,即开票价格。</w:t>
      </w:r>
    </w:p>
    <w:p w14:paraId="78BE4E8D">
      <w:pPr>
        <w:spacing w:line="360" w:lineRule="auto"/>
        <w:ind w:firstLine="420"/>
        <w:rPr>
          <w:rFonts w:hint="eastAsia" w:ascii="仿宋_GB2312" w:hAnsi="宋体" w:eastAsia="仿宋_GB2312"/>
          <w:color w:val="000000"/>
        </w:rPr>
      </w:pPr>
      <w:r>
        <w:rPr>
          <w:rFonts w:hint="eastAsia" w:ascii="仿宋_GB2312" w:hAnsi="宋体" w:eastAsia="仿宋_GB2312"/>
          <w:color w:val="000000"/>
        </w:rPr>
        <w:t>2、此表可在不改变格式的情况下自行制作,所填内容不得手写（除签名外）,都必须打印。</w:t>
      </w:r>
    </w:p>
    <w:p w14:paraId="37201690">
      <w:pPr>
        <w:widowControl/>
        <w:spacing w:line="360" w:lineRule="auto"/>
        <w:ind w:firstLine="1540" w:firstLineChars="550"/>
        <w:jc w:val="left"/>
        <w:rPr>
          <w:rStyle w:val="13"/>
          <w:rFonts w:hint="eastAsia"/>
          <w:b w:val="0"/>
          <w:sz w:val="28"/>
          <w:szCs w:val="28"/>
        </w:rPr>
      </w:pPr>
    </w:p>
    <w:p w14:paraId="06CA90E5">
      <w:pPr>
        <w:widowControl/>
        <w:spacing w:line="360" w:lineRule="auto"/>
        <w:ind w:firstLine="1540" w:firstLineChars="550"/>
        <w:jc w:val="left"/>
        <w:rPr>
          <w:rStyle w:val="13"/>
          <w:rFonts w:hint="eastAsia"/>
          <w:b w:val="0"/>
          <w:sz w:val="28"/>
          <w:szCs w:val="28"/>
        </w:rPr>
      </w:pPr>
    </w:p>
    <w:p w14:paraId="7AE2FAD8">
      <w:pPr>
        <w:widowControl/>
        <w:spacing w:line="360" w:lineRule="auto"/>
        <w:ind w:firstLine="1540" w:firstLineChars="550"/>
        <w:jc w:val="left"/>
        <w:rPr>
          <w:rStyle w:val="13"/>
          <w:rFonts w:hint="eastAsia"/>
          <w:b w:val="0"/>
          <w:sz w:val="28"/>
          <w:szCs w:val="28"/>
        </w:rPr>
      </w:pPr>
    </w:p>
    <w:p w14:paraId="09EAD412">
      <w:pPr>
        <w:widowControl/>
        <w:spacing w:line="360" w:lineRule="auto"/>
        <w:ind w:firstLine="1540" w:firstLineChars="550"/>
        <w:jc w:val="left"/>
        <w:rPr>
          <w:rStyle w:val="13"/>
          <w:rFonts w:hint="eastAsia"/>
          <w:b w:val="0"/>
          <w:sz w:val="28"/>
          <w:szCs w:val="28"/>
        </w:rPr>
      </w:pPr>
    </w:p>
    <w:p w14:paraId="765752F6">
      <w:pPr>
        <w:widowControl/>
        <w:spacing w:line="360" w:lineRule="auto"/>
        <w:ind w:firstLine="1540" w:firstLineChars="550"/>
        <w:jc w:val="left"/>
        <w:rPr>
          <w:rStyle w:val="13"/>
          <w:rFonts w:hint="eastAsia"/>
          <w:b w:val="0"/>
          <w:sz w:val="28"/>
          <w:szCs w:val="28"/>
        </w:rPr>
      </w:pPr>
    </w:p>
    <w:p w14:paraId="46261003">
      <w:pPr>
        <w:widowControl/>
        <w:spacing w:line="360" w:lineRule="auto"/>
        <w:ind w:firstLine="1540" w:firstLineChars="550"/>
        <w:jc w:val="left"/>
        <w:rPr>
          <w:rStyle w:val="13"/>
          <w:rFonts w:hint="eastAsia"/>
          <w:b w:val="0"/>
          <w:sz w:val="28"/>
          <w:szCs w:val="28"/>
        </w:rPr>
      </w:pPr>
    </w:p>
    <w:p w14:paraId="74D39908">
      <w:pPr>
        <w:widowControl/>
        <w:spacing w:line="360" w:lineRule="auto"/>
        <w:ind w:firstLine="1540" w:firstLineChars="550"/>
        <w:jc w:val="left"/>
        <w:rPr>
          <w:rStyle w:val="13"/>
          <w:rFonts w:hint="eastAsia"/>
          <w:b w:val="0"/>
          <w:sz w:val="28"/>
          <w:szCs w:val="28"/>
        </w:rPr>
      </w:pPr>
    </w:p>
    <w:p w14:paraId="1ECD0F6F">
      <w:pPr>
        <w:widowControl/>
        <w:spacing w:line="360" w:lineRule="auto"/>
        <w:ind w:firstLine="1540" w:firstLineChars="550"/>
        <w:jc w:val="left"/>
        <w:rPr>
          <w:rStyle w:val="13"/>
          <w:rFonts w:hint="eastAsia"/>
          <w:b w:val="0"/>
          <w:sz w:val="28"/>
          <w:szCs w:val="28"/>
        </w:rPr>
      </w:pPr>
    </w:p>
    <w:p w14:paraId="2542617B">
      <w:pPr>
        <w:widowControl/>
        <w:spacing w:line="360" w:lineRule="auto"/>
        <w:ind w:firstLine="1540" w:firstLineChars="550"/>
        <w:jc w:val="left"/>
        <w:rPr>
          <w:rStyle w:val="13"/>
          <w:rFonts w:hint="eastAsia"/>
          <w:b w:val="0"/>
          <w:sz w:val="28"/>
          <w:szCs w:val="28"/>
        </w:rPr>
      </w:pPr>
    </w:p>
    <w:p w14:paraId="797C23A9">
      <w:pPr>
        <w:pStyle w:val="4"/>
        <w:keepNext w:val="0"/>
        <w:keepLines w:val="0"/>
        <w:pageBreakBefore w:val="0"/>
        <w:kinsoku/>
        <w:wordWrap/>
        <w:topLinePunct w:val="0"/>
        <w:bidi w:val="0"/>
        <w:snapToGrid/>
        <w:spacing w:line="560" w:lineRule="exact"/>
        <w:textAlignment w:val="auto"/>
        <w:rPr>
          <w:rFonts w:hint="eastAsia" w:ascii="仿宋_GB2312" w:hAnsi="仿宋_GB2312" w:eastAsia="仿宋_GB2312" w:cs="仿宋_GB2312"/>
          <w:sz w:val="32"/>
          <w:szCs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D53AA">
    <w:pPr>
      <w:pStyle w:val="8"/>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AC8865"/>
    <w:multiLevelType w:val="singleLevel"/>
    <w:tmpl w:val="87AC8865"/>
    <w:lvl w:ilvl="0" w:tentative="0">
      <w:start w:val="3"/>
      <w:numFmt w:val="chineseCounting"/>
      <w:suff w:val="nothing"/>
      <w:lvlText w:val="%1、"/>
      <w:lvlJc w:val="left"/>
      <w:rPr>
        <w:rFonts w:hint="eastAsia"/>
      </w:rPr>
    </w:lvl>
  </w:abstractNum>
  <w:abstractNum w:abstractNumId="1">
    <w:nsid w:val="FDA84939"/>
    <w:multiLevelType w:val="singleLevel"/>
    <w:tmpl w:val="FDA84939"/>
    <w:lvl w:ilvl="0" w:tentative="0">
      <w:start w:val="1"/>
      <w:numFmt w:val="chineseCounting"/>
      <w:suff w:val="nothing"/>
      <w:lvlText w:val="（%1）"/>
      <w:lvlJc w:val="left"/>
      <w:rPr>
        <w:rFonts w:hint="eastAsia"/>
      </w:rPr>
    </w:lvl>
  </w:abstractNum>
  <w:abstractNum w:abstractNumId="2">
    <w:nsid w:val="1FC91163"/>
    <w:multiLevelType w:val="multilevel"/>
    <w:tmpl w:val="1FC91163"/>
    <w:lvl w:ilvl="0" w:tentative="0">
      <w:start w:val="1"/>
      <w:numFmt w:val="decimal"/>
      <w:suff w:val="nothing"/>
      <w:lvlText w:val="%1　"/>
      <w:lvlJc w:val="left"/>
      <w:pPr>
        <w:ind w:left="7229" w:firstLine="0"/>
      </w:pPr>
      <w:rPr>
        <w:rFonts w:hint="eastAsia" w:ascii="黑体" w:hAnsi="Times New Roman" w:eastAsia="黑体"/>
        <w:b w:val="0"/>
        <w:i w:val="0"/>
        <w:sz w:val="21"/>
        <w:szCs w:val="21"/>
      </w:rPr>
    </w:lvl>
    <w:lvl w:ilvl="1" w:tentative="0">
      <w:start w:val="1"/>
      <w:numFmt w:val="decimal"/>
      <w:pStyle w:val="20"/>
      <w:suff w:val="nothing"/>
      <w:lvlText w:val="%1.%2　"/>
      <w:lvlJc w:val="left"/>
      <w:pPr>
        <w:ind w:left="567" w:firstLine="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2" w:tentative="0">
      <w:start w:val="1"/>
      <w:numFmt w:val="decimal"/>
      <w:pStyle w:val="22"/>
      <w:suff w:val="nothing"/>
      <w:lvlText w:val="%1.%2.%3　"/>
      <w:lvlJc w:val="left"/>
      <w:pPr>
        <w:ind w:left="850" w:firstLine="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3" w:tentative="0">
      <w:start w:val="1"/>
      <w:numFmt w:val="decimal"/>
      <w:pStyle w:val="23"/>
      <w:suff w:val="nothing"/>
      <w:lvlText w:val="%1.%2.%3.%4　"/>
      <w:lvlJc w:val="left"/>
      <w:pPr>
        <w:ind w:left="1275" w:firstLine="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lOTBmNDY2ZDI0OWFhNjAyZDJmMDg3NTZkNzIwOTgifQ=="/>
  </w:docVars>
  <w:rsids>
    <w:rsidRoot w:val="3D05688E"/>
    <w:rsid w:val="000A64E5"/>
    <w:rsid w:val="003419A5"/>
    <w:rsid w:val="00453193"/>
    <w:rsid w:val="0049723A"/>
    <w:rsid w:val="005B3AF0"/>
    <w:rsid w:val="005E7358"/>
    <w:rsid w:val="006D7B2D"/>
    <w:rsid w:val="00707ECA"/>
    <w:rsid w:val="007E4D60"/>
    <w:rsid w:val="007F52CD"/>
    <w:rsid w:val="008C7B28"/>
    <w:rsid w:val="008D0789"/>
    <w:rsid w:val="009C7D36"/>
    <w:rsid w:val="00AC0B41"/>
    <w:rsid w:val="00AC1C87"/>
    <w:rsid w:val="00B02568"/>
    <w:rsid w:val="00B42068"/>
    <w:rsid w:val="00BE5BE2"/>
    <w:rsid w:val="00C82381"/>
    <w:rsid w:val="00CF2945"/>
    <w:rsid w:val="00DC05EC"/>
    <w:rsid w:val="00E15189"/>
    <w:rsid w:val="00F84D39"/>
    <w:rsid w:val="04A2487D"/>
    <w:rsid w:val="06184D91"/>
    <w:rsid w:val="06AF0496"/>
    <w:rsid w:val="06DA21CC"/>
    <w:rsid w:val="0A315C0E"/>
    <w:rsid w:val="0A320D1D"/>
    <w:rsid w:val="10441D45"/>
    <w:rsid w:val="10DA534F"/>
    <w:rsid w:val="15D943B3"/>
    <w:rsid w:val="18816D11"/>
    <w:rsid w:val="1C977D04"/>
    <w:rsid w:val="1E325360"/>
    <w:rsid w:val="1F9703F0"/>
    <w:rsid w:val="204F0A06"/>
    <w:rsid w:val="25FF1B34"/>
    <w:rsid w:val="2A144A92"/>
    <w:rsid w:val="2B06379A"/>
    <w:rsid w:val="2D7D7E68"/>
    <w:rsid w:val="2DD13DB6"/>
    <w:rsid w:val="2EF0478F"/>
    <w:rsid w:val="30590093"/>
    <w:rsid w:val="345F1616"/>
    <w:rsid w:val="3D05688E"/>
    <w:rsid w:val="3EA25719"/>
    <w:rsid w:val="3F871235"/>
    <w:rsid w:val="3F94129F"/>
    <w:rsid w:val="404E0344"/>
    <w:rsid w:val="41625A49"/>
    <w:rsid w:val="41946660"/>
    <w:rsid w:val="423A6BA6"/>
    <w:rsid w:val="44C80AF5"/>
    <w:rsid w:val="472B16EF"/>
    <w:rsid w:val="4C437385"/>
    <w:rsid w:val="500C259B"/>
    <w:rsid w:val="536E097B"/>
    <w:rsid w:val="5751471D"/>
    <w:rsid w:val="598D3B3C"/>
    <w:rsid w:val="5AA867DA"/>
    <w:rsid w:val="5AB31387"/>
    <w:rsid w:val="5D407F64"/>
    <w:rsid w:val="5DA84693"/>
    <w:rsid w:val="5DF47E2E"/>
    <w:rsid w:val="612176EA"/>
    <w:rsid w:val="65847D81"/>
    <w:rsid w:val="69D72179"/>
    <w:rsid w:val="6CF911B9"/>
    <w:rsid w:val="6F326250"/>
    <w:rsid w:val="73CA6C0D"/>
    <w:rsid w:val="78C70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line="360" w:lineRule="auto"/>
      <w:ind w:firstLine="200" w:firstLineChars="200"/>
      <w:outlineLvl w:val="1"/>
    </w:pPr>
    <w:rPr>
      <w:rFonts w:ascii="Arial" w:hAnsi="Arial"/>
      <w:b/>
      <w:bCs/>
      <w:szCs w:val="32"/>
    </w:rPr>
  </w:style>
  <w:style w:type="paragraph" w:styleId="3">
    <w:name w:val="heading 3"/>
    <w:basedOn w:val="1"/>
    <w:next w:val="1"/>
    <w:qFormat/>
    <w:uiPriority w:val="9"/>
    <w:pPr>
      <w:keepNext/>
      <w:keepLines/>
      <w:spacing w:beforeLines="50" w:afterLines="50"/>
      <w:outlineLvl w:val="2"/>
    </w:pPr>
    <w:rPr>
      <w:rFonts w:ascii="黑体" w:hAnsi="黑体" w:eastAsia="黑体"/>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Plain Text"/>
    <w:basedOn w:val="1"/>
    <w:qFormat/>
    <w:uiPriority w:val="0"/>
    <w:pPr>
      <w:widowControl/>
      <w:overflowPunct w:val="0"/>
      <w:autoSpaceDE w:val="0"/>
      <w:autoSpaceDN w:val="0"/>
      <w:adjustRightInd w:val="0"/>
      <w:jc w:val="left"/>
    </w:pPr>
    <w:rPr>
      <w:rFonts w:ascii="宋体" w:hAnsi="Courier New"/>
      <w:kern w:val="0"/>
    </w:rPr>
  </w:style>
  <w:style w:type="paragraph" w:styleId="5">
    <w:name w:val="Body Text Indent 2"/>
    <w:basedOn w:val="1"/>
    <w:qFormat/>
    <w:uiPriority w:val="0"/>
    <w:pPr>
      <w:widowControl/>
      <w:spacing w:line="480" w:lineRule="atLeast"/>
      <w:ind w:firstLine="480"/>
    </w:pPr>
    <w:rPr>
      <w:rFonts w:ascii="宋体"/>
      <w:kern w:val="0"/>
      <w:sz w:val="24"/>
      <w:szCs w:val="20"/>
    </w:rPr>
  </w:style>
  <w:style w:type="paragraph" w:styleId="6">
    <w:name w:val="Balloon Text"/>
    <w:basedOn w:val="1"/>
    <w:link w:val="18"/>
    <w:unhideWhenUsed/>
    <w:qFormat/>
    <w:uiPriority w:val="99"/>
    <w:rPr>
      <w:rFonts w:ascii="Times New Roman" w:hAnsi="Times New Roman" w:eastAsia="宋体" w:cs="Times New Roman"/>
      <w:sz w:val="18"/>
      <w:szCs w:val="18"/>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paragraph" w:styleId="14">
    <w:name w:val="List Paragraph"/>
    <w:basedOn w:val="1"/>
    <w:qFormat/>
    <w:uiPriority w:val="34"/>
    <w:pPr>
      <w:ind w:firstLine="420" w:firstLineChars="200"/>
    </w:pPr>
  </w:style>
  <w:style w:type="character" w:customStyle="1" w:styleId="15">
    <w:name w:val="页眉 Char"/>
    <w:basedOn w:val="12"/>
    <w:link w:val="8"/>
    <w:qFormat/>
    <w:uiPriority w:val="0"/>
    <w:rPr>
      <w:kern w:val="2"/>
      <w:sz w:val="18"/>
      <w:szCs w:val="18"/>
    </w:rPr>
  </w:style>
  <w:style w:type="character" w:customStyle="1" w:styleId="16">
    <w:name w:val="页脚 Char"/>
    <w:basedOn w:val="12"/>
    <w:link w:val="7"/>
    <w:qFormat/>
    <w:uiPriority w:val="0"/>
    <w:rPr>
      <w:kern w:val="2"/>
      <w:sz w:val="18"/>
      <w:szCs w:val="18"/>
    </w:rPr>
  </w:style>
  <w:style w:type="character" w:customStyle="1" w:styleId="17">
    <w:name w:val="批注框文本 字符"/>
    <w:basedOn w:val="12"/>
    <w:qFormat/>
    <w:uiPriority w:val="0"/>
    <w:rPr>
      <w:kern w:val="2"/>
      <w:sz w:val="18"/>
      <w:szCs w:val="18"/>
    </w:rPr>
  </w:style>
  <w:style w:type="character" w:customStyle="1" w:styleId="18">
    <w:name w:val="批注框文本 Char"/>
    <w:link w:val="6"/>
    <w:qFormat/>
    <w:uiPriority w:val="99"/>
    <w:rPr>
      <w:rFonts w:ascii="Times New Roman" w:hAnsi="Times New Roman" w:eastAsia="宋体" w:cs="Times New Roman"/>
      <w:kern w:val="2"/>
      <w:sz w:val="18"/>
      <w:szCs w:val="18"/>
    </w:rPr>
  </w:style>
  <w:style w:type="paragraph" w:styleId="19">
    <w:name w:val="No Spacing"/>
    <w:qFormat/>
    <w:uiPriority w:val="1"/>
    <w:pPr>
      <w:widowControl w:val="0"/>
      <w:spacing w:line="360" w:lineRule="auto"/>
      <w:ind w:firstLine="200" w:firstLineChars="200"/>
      <w:jc w:val="both"/>
    </w:pPr>
    <w:rPr>
      <w:rFonts w:ascii="Calibri" w:hAnsi="Calibri" w:eastAsia="宋体" w:cs="Times New Roman"/>
      <w:kern w:val="2"/>
      <w:sz w:val="24"/>
      <w:szCs w:val="22"/>
      <w:lang w:val="en-US" w:eastAsia="zh-CN" w:bidi="ar-SA"/>
    </w:rPr>
  </w:style>
  <w:style w:type="paragraph" w:customStyle="1" w:styleId="20">
    <w:name w:val="一级条标题"/>
    <w:next w:val="2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1">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2">
    <w:name w:val="二级条标题"/>
    <w:basedOn w:val="20"/>
    <w:next w:val="21"/>
    <w:qFormat/>
    <w:uiPriority w:val="0"/>
    <w:pPr>
      <w:numPr>
        <w:ilvl w:val="2"/>
      </w:numPr>
      <w:spacing w:before="50" w:after="50"/>
      <w:outlineLvl w:val="3"/>
    </w:pPr>
  </w:style>
  <w:style w:type="paragraph" w:customStyle="1" w:styleId="23">
    <w:name w:val="三级条标题"/>
    <w:basedOn w:val="22"/>
    <w:next w:val="21"/>
    <w:qFormat/>
    <w:uiPriority w:val="0"/>
    <w:pPr>
      <w:numPr>
        <w:ilvl w:val="3"/>
      </w:numPr>
      <w:outlineLvl w:val="4"/>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26</Pages>
  <Words>11230</Words>
  <Characters>11818</Characters>
  <Lines>8</Lines>
  <Paragraphs>2</Paragraphs>
  <TotalTime>20</TotalTime>
  <ScaleCrop>false</ScaleCrop>
  <LinksUpToDate>false</LinksUpToDate>
  <CharactersWithSpaces>11960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2021-07-02T06:21:00Z</dcterms:created>
  <dc:creator>董小烈</dc:creator>
  <cp:lastModifiedBy>yzm</cp:lastModifiedBy>
  <cp:lastPrinted>2021-07-02T07:29:00Z</cp:lastPrinted>
  <dcterms:modified xsi:type="dcterms:W3CDTF">2025-07-10T07:08:38Z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4DD6FFE8AFA244A193C6A9D754E20CE1</vt:lpwstr>
  </property>
  <property fmtid="{D5CDD505-2E9C-101B-9397-08002B2CF9AE}" pid="4" name="KSOTemplateDocerSaveRecord">
    <vt:lpwstr>eyJoZGlkIjoiMTBkOTQxNDZlY2I5ODY0NjU2ZWQyNzVmZDBjZmE0MDciLCJ1c2VySWQiOiI0NDgxMTkyNDIifQ==</vt:lpwstr>
  </property>
</Properties>
</file>